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8" w:rsidRDefault="00BF31E5" w:rsidP="00BF31E5">
      <w:pPr>
        <w:jc w:val="center"/>
        <w:rPr>
          <w:b/>
          <w:lang w:val="ka-GE"/>
        </w:rPr>
      </w:pPr>
      <w:r w:rsidRPr="00BF31E5">
        <w:rPr>
          <w:b/>
          <w:lang w:val="ka-GE"/>
        </w:rPr>
        <w:t>ახალი კორონავირუსის გავრცელების პრევენციის მიზნით გასატარებელი ღონისძიებების ფარგლებში მოწყვლადი ჯგუფებისთვის განხორციელებული საკომპენსაციო ზომები</w:t>
      </w:r>
    </w:p>
    <w:p w:rsidR="00BF31E5" w:rsidRDefault="00BF31E5" w:rsidP="00BF31E5">
      <w:pPr>
        <w:jc w:val="center"/>
        <w:rPr>
          <w:b/>
          <w:lang w:val="ka-GE"/>
        </w:rPr>
      </w:pPr>
    </w:p>
    <w:p w:rsidR="00BF31E5" w:rsidRPr="00D35094" w:rsidRDefault="00786D9C" w:rsidP="00BF31E5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შესაბამის სამიზნე ჯგუფს არ უჩერდება და უწყვეტად </w:t>
      </w:r>
      <w:r w:rsidR="00D35094">
        <w:rPr>
          <w:sz w:val="22"/>
          <w:lang w:val="ka-GE"/>
        </w:rPr>
        <w:t>უგრძელდება</w:t>
      </w:r>
      <w:r>
        <w:rPr>
          <w:sz w:val="22"/>
          <w:lang w:val="ka-GE"/>
        </w:rPr>
        <w:t xml:space="preserve"> სახელმწიფო გასაცემლის (</w:t>
      </w:r>
      <w:r w:rsidRPr="00786D9C">
        <w:rPr>
          <w:sz w:val="22"/>
          <w:lang w:val="ka-GE"/>
        </w:rPr>
        <w:t>სახელმწიფო პენსია, კომპენსაცია, სოციალური პაკეტი და ა.შ.)</w:t>
      </w:r>
      <w:r w:rsidR="00D35094">
        <w:rPr>
          <w:sz w:val="22"/>
          <w:lang w:val="ka-GE"/>
        </w:rPr>
        <w:t xml:space="preserve"> გაცემა, მიხედავად </w:t>
      </w:r>
      <w:r w:rsidR="00D35094" w:rsidRPr="00D35094">
        <w:rPr>
          <w:sz w:val="22"/>
          <w:lang w:val="ka-GE"/>
        </w:rPr>
        <w:t>მიუხედავად კანონმდებლობით დადგენილი შეჩერების საფუძვლ(ებ)ის წარმოშობისა</w:t>
      </w:r>
      <w:r w:rsidR="00D35094">
        <w:rPr>
          <w:sz w:val="22"/>
          <w:lang w:val="ka-GE"/>
        </w:rPr>
        <w:t>;</w:t>
      </w:r>
    </w:p>
    <w:p w:rsidR="00D35094" w:rsidRPr="00D35094" w:rsidRDefault="00D35094" w:rsidP="00BF31E5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D35094">
        <w:rPr>
          <w:sz w:val="22"/>
          <w:lang w:val="ka-GE"/>
        </w:rPr>
        <w:t>სამედიცინო-სოციალური ექსპერტიზის აქტის ამონაწერებს (ფორმა №IV-50/4) და შესაბამისად ამ ამონაწერებით გათვალისწინებულ სტატუსებს, რომელთა საფუძველზე შეზღუდული შესაძლებლობის სტატუსის მორიგი გადამოწმების ვადად განსაზღვრულია 2020 წლის მარტი და შემდგომი პერიოდი, შეუნარჩუნდ</w:t>
      </w:r>
      <w:r>
        <w:rPr>
          <w:sz w:val="22"/>
          <w:lang w:val="ka-GE"/>
        </w:rPr>
        <w:t>ა</w:t>
      </w:r>
      <w:r w:rsidRPr="00D35094">
        <w:rPr>
          <w:sz w:val="22"/>
          <w:lang w:val="ka-GE"/>
        </w:rPr>
        <w:t>თ იურიდიული ძალა</w:t>
      </w:r>
      <w:r>
        <w:rPr>
          <w:sz w:val="22"/>
          <w:lang w:val="ka-GE"/>
        </w:rPr>
        <w:t>;</w:t>
      </w:r>
    </w:p>
    <w:p w:rsidR="00A63A00" w:rsidRDefault="00D35094" w:rsidP="00A63A00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D35094">
        <w:rPr>
          <w:sz w:val="22"/>
          <w:lang w:val="ka-GE"/>
        </w:rPr>
        <w:t xml:space="preserve">2020 წლის აპრილის სახელმწიფო პენსიის გაცემა განხორციუელდა წინასწარ, მარტში; </w:t>
      </w:r>
    </w:p>
    <w:p w:rsidR="00A63A00" w:rsidRPr="00A63A00" w:rsidRDefault="00A63A00" w:rsidP="00A63A00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proofErr w:type="spellStart"/>
      <w:r w:rsidRPr="00A63A00">
        <w:rPr>
          <w:sz w:val="22"/>
          <w:lang w:val="ka-GE"/>
        </w:rPr>
        <w:t>დემოგრაფიული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მდგომარეობის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გაუმჯობესების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ხელშეწყობის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მიზნობრივი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სახელმწიფო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პროგრამის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დამტკიცების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შესახებ</w:t>
      </w:r>
      <w:proofErr w:type="spellEnd"/>
      <w:r w:rsidRPr="00A63A00">
        <w:rPr>
          <w:sz w:val="22"/>
          <w:lang w:val="ka-GE"/>
        </w:rPr>
        <w:t xml:space="preserve">“ </w:t>
      </w:r>
      <w:proofErr w:type="spellStart"/>
      <w:r w:rsidRPr="00A63A00">
        <w:rPr>
          <w:sz w:val="22"/>
          <w:lang w:val="ka-GE"/>
        </w:rPr>
        <w:t>საქართველოს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მთავრობის</w:t>
      </w:r>
      <w:proofErr w:type="spellEnd"/>
      <w:r w:rsidRPr="00A63A00">
        <w:rPr>
          <w:sz w:val="22"/>
          <w:lang w:val="ka-GE"/>
        </w:rPr>
        <w:t xml:space="preserve"> 2014 </w:t>
      </w:r>
      <w:proofErr w:type="spellStart"/>
      <w:r w:rsidRPr="00A63A00">
        <w:rPr>
          <w:sz w:val="22"/>
          <w:lang w:val="ka-GE"/>
        </w:rPr>
        <w:t>წლის</w:t>
      </w:r>
      <w:proofErr w:type="spellEnd"/>
      <w:r w:rsidRPr="00A63A00">
        <w:rPr>
          <w:sz w:val="22"/>
          <w:lang w:val="ka-GE"/>
        </w:rPr>
        <w:t xml:space="preserve"> 31 </w:t>
      </w:r>
      <w:proofErr w:type="spellStart"/>
      <w:r w:rsidRPr="00A63A00">
        <w:rPr>
          <w:sz w:val="22"/>
          <w:lang w:val="ka-GE"/>
        </w:rPr>
        <w:t>მარტის</w:t>
      </w:r>
      <w:proofErr w:type="spellEnd"/>
      <w:r w:rsidRPr="00A63A00">
        <w:rPr>
          <w:sz w:val="22"/>
          <w:lang w:val="ka-GE"/>
        </w:rPr>
        <w:t xml:space="preserve"> №262 </w:t>
      </w:r>
      <w:proofErr w:type="spellStart"/>
      <w:r w:rsidRPr="00A63A00">
        <w:rPr>
          <w:sz w:val="22"/>
          <w:lang w:val="ka-GE"/>
        </w:rPr>
        <w:t>დადგენილების</w:t>
      </w:r>
      <w:proofErr w:type="spellEnd"/>
      <w:r w:rsidRPr="00A63A00">
        <w:rPr>
          <w:sz w:val="22"/>
          <w:lang w:val="ka-GE"/>
        </w:rPr>
        <w:t xml:space="preserve"> ფარგლებში, სააგენტო არ ახორციელებს ბენეფიციარების ოჯახების ფაქტობრივი საცხოვრებელი </w:t>
      </w:r>
      <w:proofErr w:type="spellStart"/>
      <w:r w:rsidRPr="00A63A00">
        <w:rPr>
          <w:sz w:val="22"/>
          <w:lang w:val="ka-GE"/>
        </w:rPr>
        <w:t>ადგილის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გადამოწმებას</w:t>
      </w:r>
      <w:proofErr w:type="spellEnd"/>
      <w:r w:rsidRPr="00A63A00">
        <w:rPr>
          <w:sz w:val="22"/>
          <w:lang w:val="ka-GE"/>
        </w:rPr>
        <w:t xml:space="preserve"> (</w:t>
      </w:r>
      <w:proofErr w:type="spellStart"/>
      <w:r w:rsidRPr="00A63A00">
        <w:rPr>
          <w:sz w:val="22"/>
          <w:lang w:val="ka-GE"/>
        </w:rPr>
        <w:t>ბენეფიციარების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ცხოვრების</w:t>
      </w:r>
      <w:proofErr w:type="spellEnd"/>
      <w:r w:rsidRPr="00A63A00">
        <w:rPr>
          <w:sz w:val="22"/>
          <w:lang w:val="ka-GE"/>
        </w:rPr>
        <w:t xml:space="preserve"> ფაქტის დადასტურების მიზნით) და იმ ოჯახებს, რომელთაც </w:t>
      </w:r>
      <w:proofErr w:type="spellStart"/>
      <w:r w:rsidRPr="00A63A00">
        <w:rPr>
          <w:sz w:val="22"/>
          <w:lang w:val="ka-GE"/>
        </w:rPr>
        <w:t>თებერვლის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ჩათვლით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ერიცხებოდათ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ფულადი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დახმარება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და</w:t>
      </w:r>
      <w:proofErr w:type="spellEnd"/>
      <w:r w:rsidRPr="00A63A00">
        <w:rPr>
          <w:sz w:val="22"/>
          <w:lang w:val="ka-GE"/>
        </w:rPr>
        <w:t xml:space="preserve"> </w:t>
      </w:r>
      <w:proofErr w:type="spellStart"/>
      <w:r w:rsidRPr="00A63A00">
        <w:rPr>
          <w:sz w:val="22"/>
          <w:lang w:val="ka-GE"/>
        </w:rPr>
        <w:t>მარტში</w:t>
      </w:r>
      <w:proofErr w:type="spellEnd"/>
      <w:r w:rsidRPr="00A63A00">
        <w:rPr>
          <w:sz w:val="22"/>
          <w:lang w:val="ka-GE"/>
        </w:rPr>
        <w:t xml:space="preserve"> შეუჩერდათ დახმარების გაცემა, </w:t>
      </w:r>
      <w:r>
        <w:rPr>
          <w:sz w:val="22"/>
          <w:lang w:val="ka-GE"/>
        </w:rPr>
        <w:t>გაუგრძელდებათ</w:t>
      </w:r>
      <w:r w:rsidRPr="00A63A00">
        <w:rPr>
          <w:sz w:val="22"/>
          <w:lang w:val="ka-GE"/>
        </w:rPr>
        <w:t xml:space="preserve"> თანხის გაცემა აპრილიდან და აუნაზღაუროს მარტის მიუღებელი თანხა</w:t>
      </w:r>
      <w:r>
        <w:rPr>
          <w:sz w:val="22"/>
          <w:lang w:val="ka-GE"/>
        </w:rPr>
        <w:t>;</w:t>
      </w:r>
    </w:p>
    <w:p w:rsidR="00D35094" w:rsidRPr="00D35094" w:rsidRDefault="00D35094" w:rsidP="001B224F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არ ხორციელდება </w:t>
      </w:r>
      <w:r w:rsidRPr="00D35094">
        <w:rPr>
          <w:sz w:val="22"/>
          <w:lang w:val="ka-GE"/>
        </w:rPr>
        <w:t>მონაცემთა ბაზაში რეგისტრირებული ოჯახების სოციალურ-ეკონომიკური მდგომარეობის ხელახალი გადამოწმება, მიუხედავად სარეიტინგო ქულის ოდენობისა, გარდა იმ შემთხვევებისა, როცა ოჯახის სოციალურ-ეკონომიკური მდგომარეობის პირველადი ან განმეორებითი გადამოწმება მოთხოვნილია უშუალოდ ოჯახის მიერ;</w:t>
      </w:r>
    </w:p>
    <w:p w:rsidR="00D35094" w:rsidRDefault="00D35094" w:rsidP="00BF31E5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D35094">
        <w:rPr>
          <w:sz w:val="22"/>
          <w:lang w:val="ka-GE"/>
        </w:rPr>
        <w:t xml:space="preserve">მონაცემთა ბაზაში რეგისტრირებულ 100 001-ზე ნაკლები სარეიტინგო ქულის მქონე ოჯახებთან მიმართებით უწყვეტად </w:t>
      </w:r>
      <w:r>
        <w:rPr>
          <w:sz w:val="22"/>
          <w:lang w:val="ka-GE"/>
        </w:rPr>
        <w:t xml:space="preserve">გრძელდება </w:t>
      </w:r>
      <w:r w:rsidRPr="00D35094">
        <w:rPr>
          <w:sz w:val="22"/>
          <w:lang w:val="ka-GE"/>
        </w:rPr>
        <w:t>ფულადი სოციალური დახმარების – საარსებო შემწეობის გაცემა</w:t>
      </w:r>
      <w:r>
        <w:rPr>
          <w:sz w:val="22"/>
          <w:lang w:val="ka-GE"/>
        </w:rPr>
        <w:t>.</w:t>
      </w:r>
      <w:r w:rsidRPr="00D35094">
        <w:rPr>
          <w:sz w:val="22"/>
          <w:lang w:val="ka-GE"/>
        </w:rPr>
        <w:t xml:space="preserve">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</w:t>
      </w:r>
      <w:r>
        <w:rPr>
          <w:sz w:val="22"/>
          <w:lang w:val="ka-GE"/>
        </w:rPr>
        <w:t>;</w:t>
      </w:r>
    </w:p>
    <w:p w:rsidR="007A22FC" w:rsidRDefault="007A22FC" w:rsidP="00BF31E5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7A22FC">
        <w:rPr>
          <w:sz w:val="22"/>
          <w:lang w:val="ka-GE"/>
        </w:rPr>
        <w:t xml:space="preserve"> სააგენტო არ </w:t>
      </w:r>
      <w:r>
        <w:rPr>
          <w:sz w:val="22"/>
          <w:lang w:val="ka-GE"/>
        </w:rPr>
        <w:t>შეუწყვიტავს</w:t>
      </w:r>
      <w:r w:rsidRPr="007A22FC">
        <w:rPr>
          <w:sz w:val="22"/>
          <w:lang w:val="ka-GE"/>
        </w:rPr>
        <w:t xml:space="preserve"> ოჯახის რეგისტრაცია</w:t>
      </w:r>
      <w:r>
        <w:rPr>
          <w:sz w:val="22"/>
          <w:lang w:val="ka-GE"/>
        </w:rPr>
        <w:t>ს</w:t>
      </w:r>
      <w:bookmarkStart w:id="0" w:name="_GoBack"/>
      <w:bookmarkEnd w:id="0"/>
      <w:r w:rsidRPr="007A22FC">
        <w:rPr>
          <w:sz w:val="22"/>
          <w:lang w:val="ka-GE"/>
        </w:rPr>
        <w:t xml:space="preserve"> მონაცემთა </w:t>
      </w:r>
      <w:proofErr w:type="spellStart"/>
      <w:r w:rsidRPr="007A22FC">
        <w:rPr>
          <w:sz w:val="22"/>
          <w:lang w:val="ka-GE"/>
        </w:rPr>
        <w:t>ბაზაში</w:t>
      </w:r>
      <w:proofErr w:type="spellEnd"/>
      <w:r w:rsidRPr="007A22FC">
        <w:rPr>
          <w:sz w:val="22"/>
          <w:lang w:val="ka-GE"/>
        </w:rPr>
        <w:t xml:space="preserve">, </w:t>
      </w:r>
      <w:proofErr w:type="spellStart"/>
      <w:r w:rsidRPr="007A22FC">
        <w:rPr>
          <w:sz w:val="22"/>
          <w:lang w:val="ka-GE"/>
        </w:rPr>
        <w:t>თუ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ოჯახის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მიერ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დარღვეულია</w:t>
      </w:r>
      <w:proofErr w:type="spellEnd"/>
      <w:r w:rsidRPr="007A22FC">
        <w:rPr>
          <w:sz w:val="22"/>
          <w:lang w:val="ka-GE"/>
        </w:rPr>
        <w:t xml:space="preserve"> „</w:t>
      </w:r>
      <w:proofErr w:type="spellStart"/>
      <w:r w:rsidRPr="007A22FC">
        <w:rPr>
          <w:sz w:val="22"/>
          <w:lang w:val="ka-GE"/>
        </w:rPr>
        <w:t>ქვეყანაში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სიღატაკის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დონის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შემცირებისა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და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მოსახლეობის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სოციალური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დაცვის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სრულყოფის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ღონისძიებათა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შესახებ</w:t>
      </w:r>
      <w:proofErr w:type="spellEnd"/>
      <w:r w:rsidRPr="007A22FC">
        <w:rPr>
          <w:sz w:val="22"/>
          <w:lang w:val="ka-GE"/>
        </w:rPr>
        <w:t xml:space="preserve">“ </w:t>
      </w:r>
      <w:proofErr w:type="spellStart"/>
      <w:r w:rsidRPr="007A22FC">
        <w:rPr>
          <w:sz w:val="22"/>
          <w:lang w:val="ka-GE"/>
        </w:rPr>
        <w:t>საქართველოს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მთავრობის</w:t>
      </w:r>
      <w:proofErr w:type="spellEnd"/>
      <w:r w:rsidRPr="007A22FC">
        <w:rPr>
          <w:sz w:val="22"/>
          <w:lang w:val="ka-GE"/>
        </w:rPr>
        <w:t xml:space="preserve"> 2010 </w:t>
      </w:r>
      <w:proofErr w:type="spellStart"/>
      <w:r w:rsidRPr="007A22FC">
        <w:rPr>
          <w:sz w:val="22"/>
          <w:lang w:val="ka-GE"/>
        </w:rPr>
        <w:t>წლის</w:t>
      </w:r>
      <w:proofErr w:type="spellEnd"/>
      <w:r w:rsidRPr="007A22FC">
        <w:rPr>
          <w:sz w:val="22"/>
          <w:lang w:val="ka-GE"/>
        </w:rPr>
        <w:t xml:space="preserve"> 24 </w:t>
      </w:r>
      <w:proofErr w:type="spellStart"/>
      <w:r w:rsidRPr="007A22FC">
        <w:rPr>
          <w:sz w:val="22"/>
          <w:lang w:val="ka-GE"/>
        </w:rPr>
        <w:t>აპრილის</w:t>
      </w:r>
      <w:proofErr w:type="spellEnd"/>
      <w:r w:rsidRPr="007A22FC">
        <w:rPr>
          <w:sz w:val="22"/>
          <w:lang w:val="ka-GE"/>
        </w:rPr>
        <w:t xml:space="preserve"> №126 </w:t>
      </w:r>
      <w:proofErr w:type="spellStart"/>
      <w:r w:rsidRPr="007A22FC">
        <w:rPr>
          <w:sz w:val="22"/>
          <w:lang w:val="ka-GE"/>
        </w:rPr>
        <w:t>დადგენილებით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დამტკიცებული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წესის</w:t>
      </w:r>
      <w:proofErr w:type="spellEnd"/>
      <w:r w:rsidRPr="007A22FC">
        <w:rPr>
          <w:sz w:val="22"/>
          <w:lang w:val="ka-GE"/>
        </w:rPr>
        <w:t xml:space="preserve"> მე-6 </w:t>
      </w:r>
      <w:proofErr w:type="spellStart"/>
      <w:r w:rsidRPr="007A22FC">
        <w:rPr>
          <w:sz w:val="22"/>
          <w:lang w:val="ka-GE"/>
        </w:rPr>
        <w:t>მუხლის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პირველი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პუნქტის</w:t>
      </w:r>
      <w:proofErr w:type="spellEnd"/>
      <w:r w:rsidRPr="007A22FC">
        <w:rPr>
          <w:sz w:val="22"/>
          <w:lang w:val="ka-GE"/>
        </w:rPr>
        <w:t xml:space="preserve"> „დ“ </w:t>
      </w:r>
      <w:proofErr w:type="spellStart"/>
      <w:r w:rsidRPr="007A22FC">
        <w:rPr>
          <w:sz w:val="22"/>
          <w:lang w:val="ka-GE"/>
        </w:rPr>
        <w:t>ქვეპუნქტით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გათვალისწინებული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ვალდებულებები</w:t>
      </w:r>
      <w:proofErr w:type="spellEnd"/>
      <w:r w:rsidRPr="007A22FC">
        <w:rPr>
          <w:sz w:val="22"/>
          <w:lang w:val="ka-GE"/>
        </w:rPr>
        <w:t>, </w:t>
      </w:r>
      <w:proofErr w:type="spellStart"/>
      <w:r w:rsidRPr="007A22FC">
        <w:rPr>
          <w:sz w:val="22"/>
          <w:lang w:val="ka-GE"/>
        </w:rPr>
        <w:t>გარდა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იმ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შემთხვევებისა</w:t>
      </w:r>
      <w:proofErr w:type="spellEnd"/>
      <w:r w:rsidRPr="007A22FC">
        <w:rPr>
          <w:sz w:val="22"/>
          <w:lang w:val="ka-GE"/>
        </w:rPr>
        <w:t xml:space="preserve">, </w:t>
      </w:r>
      <w:proofErr w:type="spellStart"/>
      <w:r w:rsidRPr="007A22FC">
        <w:rPr>
          <w:sz w:val="22"/>
          <w:lang w:val="ka-GE"/>
        </w:rPr>
        <w:t>როცა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ოჯახი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სააგენტოს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უფლებამოსილ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პირს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არ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აძლევს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ქონების</w:t>
      </w:r>
      <w:proofErr w:type="spellEnd"/>
      <w:r w:rsidRPr="007A22FC">
        <w:rPr>
          <w:sz w:val="22"/>
          <w:lang w:val="ka-GE"/>
        </w:rPr>
        <w:t>/</w:t>
      </w:r>
      <w:proofErr w:type="spellStart"/>
      <w:r w:rsidRPr="007A22FC">
        <w:rPr>
          <w:sz w:val="22"/>
          <w:lang w:val="ka-GE"/>
        </w:rPr>
        <w:t>დოკუმენტების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დათვალიერების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საშუალებას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ან</w:t>
      </w:r>
      <w:proofErr w:type="spellEnd"/>
      <w:r w:rsidRPr="007A22FC">
        <w:rPr>
          <w:sz w:val="22"/>
          <w:lang w:val="ka-GE"/>
        </w:rPr>
        <w:t xml:space="preserve">  </w:t>
      </w:r>
      <w:proofErr w:type="spellStart"/>
      <w:r w:rsidRPr="007A22FC">
        <w:rPr>
          <w:sz w:val="22"/>
          <w:lang w:val="ka-GE"/>
        </w:rPr>
        <w:t>ოჯახი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უარს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აცხადებს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დეკლარაციის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შევსებაზე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და</w:t>
      </w:r>
      <w:proofErr w:type="spellEnd"/>
      <w:r w:rsidRPr="007A22FC">
        <w:rPr>
          <w:sz w:val="22"/>
          <w:lang w:val="ka-GE"/>
        </w:rPr>
        <w:t>/</w:t>
      </w:r>
      <w:proofErr w:type="spellStart"/>
      <w:r w:rsidRPr="007A22FC">
        <w:rPr>
          <w:sz w:val="22"/>
          <w:lang w:val="ka-GE"/>
        </w:rPr>
        <w:t>ან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მონაცემთა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ბაზაში</w:t>
      </w:r>
      <w:proofErr w:type="spellEnd"/>
      <w:r w:rsidRPr="007A22FC">
        <w:rPr>
          <w:sz w:val="22"/>
          <w:lang w:val="ka-GE"/>
        </w:rPr>
        <w:t xml:space="preserve"> </w:t>
      </w:r>
      <w:proofErr w:type="spellStart"/>
      <w:r w:rsidRPr="007A22FC">
        <w:rPr>
          <w:sz w:val="22"/>
          <w:lang w:val="ka-GE"/>
        </w:rPr>
        <w:t>რეგისტრაციაზე</w:t>
      </w:r>
      <w:proofErr w:type="spellEnd"/>
      <w:r w:rsidRPr="007A22FC">
        <w:rPr>
          <w:sz w:val="22"/>
          <w:lang w:val="ka-GE"/>
        </w:rPr>
        <w:t>;</w:t>
      </w:r>
    </w:p>
    <w:p w:rsidR="00D35094" w:rsidRDefault="00D35094" w:rsidP="00BF31E5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სოციალურად დაუცველი ოჯახების მონაცემთა ერთიან ბაზაში რეგისტრაციისთვის </w:t>
      </w:r>
      <w:r>
        <w:rPr>
          <w:sz w:val="22"/>
        </w:rPr>
        <w:t>www. worknet.gov.ge-</w:t>
      </w:r>
      <w:r>
        <w:rPr>
          <w:sz w:val="22"/>
          <w:lang w:val="ka-GE"/>
        </w:rPr>
        <w:t>ზე არდარეგისტრირება არ გამოიწვევს ბაზაში რეგისტრაციის შეწყვეტას;</w:t>
      </w:r>
    </w:p>
    <w:p w:rsidR="008314C9" w:rsidRPr="008314C9" w:rsidRDefault="008314C9" w:rsidP="008314C9">
      <w:pPr>
        <w:pStyle w:val="ListParagraph"/>
        <w:numPr>
          <w:ilvl w:val="0"/>
          <w:numId w:val="1"/>
        </w:numPr>
        <w:jc w:val="both"/>
        <w:rPr>
          <w:b/>
          <w:sz w:val="22"/>
          <w:lang w:val="ka-GE"/>
        </w:rPr>
      </w:pPr>
      <w:r w:rsidRPr="008314C9">
        <w:rPr>
          <w:b/>
          <w:sz w:val="22"/>
          <w:lang w:val="ka-GE"/>
        </w:rPr>
        <w:lastRenderedPageBreak/>
        <w:t>მხარდაჭერის ღონისძიებები განხორციელდა „სოციალური რეაბილიტაციის და ბავშვზე ზრუნვის პროგრამის“ ფარგლებშიც:</w:t>
      </w:r>
    </w:p>
    <w:p w:rsid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ბავშვთა ადრეული განვითარების ხელშეწყობის ქვეპროგრამის</w:t>
      </w:r>
      <w:r>
        <w:rPr>
          <w:rFonts w:eastAsia="Calibri" w:cs="Sylfaen"/>
          <w:sz w:val="22"/>
          <w:lang w:val="ka-GE"/>
        </w:rPr>
        <w:t xml:space="preserve"> ფარგლებში </w:t>
      </w:r>
      <w:r w:rsidRPr="00AE7C0F">
        <w:rPr>
          <w:rFonts w:eastAsia="Calibri" w:cs="Sylfaen"/>
          <w:sz w:val="22"/>
          <w:lang w:val="ka-GE"/>
        </w:rPr>
        <w:t>თანხის ანაზღაურება განხორციელდება წარდგენილი ვაუჩერების რაოდენობის გათვალისწინებით, თვის ვაუჩერის ღირებულების 70%-ის ოდენობით</w:t>
      </w:r>
      <w:r>
        <w:rPr>
          <w:rFonts w:eastAsia="Calibri" w:cs="Sylfaen"/>
          <w:sz w:val="22"/>
          <w:lang w:val="ka-GE"/>
        </w:rPr>
        <w:t>;</w:t>
      </w:r>
    </w:p>
    <w:p w:rsid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ბავშვთა რეაბილიტაცია/აბილიტაციის ქვეპროგრამის ფარგლებში</w:t>
      </w:r>
      <w:r>
        <w:rPr>
          <w:rFonts w:eastAsia="Calibri" w:cs="Sylfaen"/>
          <w:sz w:val="22"/>
          <w:lang w:val="ka-GE"/>
        </w:rPr>
        <w:t xml:space="preserve"> </w:t>
      </w:r>
      <w:r w:rsidRPr="00AE7C0F">
        <w:rPr>
          <w:rFonts w:eastAsia="Calibri" w:cs="Sylfaen"/>
          <w:sz w:val="22"/>
          <w:lang w:val="ka-GE"/>
        </w:rPr>
        <w:t xml:space="preserve">თანხის ანაზღაურება განხორციელდება მარტში და აპრილში დაგეგმილი კურსების შეაბამისად, ვაუჩერის ღირებულების 50%-ის ოდენობით, </w:t>
      </w:r>
      <w:r>
        <w:rPr>
          <w:rFonts w:eastAsia="Calibri" w:cs="Sylfaen"/>
          <w:sz w:val="22"/>
          <w:lang w:val="ka-GE"/>
        </w:rPr>
        <w:t>ხოლო თუ მომსახურება გაეწია ბენეფიციარს - თანხა ანაზღაურდება სრულად;</w:t>
      </w:r>
    </w:p>
    <w:p w:rsidR="00525326" w:rsidRDefault="008314C9" w:rsidP="00525326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დღის ცენტრებში მომსახურებით უზრუნველყოფის ქვეპროგრამის</w:t>
      </w:r>
      <w:r>
        <w:rPr>
          <w:rFonts w:eastAsia="Calibri" w:cs="Sylfaen"/>
          <w:sz w:val="22"/>
          <w:lang w:val="ka-GE"/>
        </w:rPr>
        <w:t xml:space="preserve"> ფარგლებში </w:t>
      </w:r>
      <w:r w:rsidRPr="00AE7C0F">
        <w:rPr>
          <w:rFonts w:eastAsia="Calibri" w:cs="Sylfaen"/>
          <w:sz w:val="22"/>
          <w:lang w:val="ka-GE"/>
        </w:rPr>
        <w:t xml:space="preserve">თანხის ანაზღაურება განხორციელდება წარდგენილი ვაუჩერების რაოდენობის გათვალისწინებით, თვის ვაუჩერის ღირებულების </w:t>
      </w:r>
      <w:r>
        <w:rPr>
          <w:rFonts w:eastAsia="Calibri" w:cs="Sylfaen"/>
          <w:sz w:val="22"/>
          <w:lang w:val="ka-GE"/>
        </w:rPr>
        <w:t>6</w:t>
      </w:r>
      <w:r w:rsidRPr="00AE7C0F">
        <w:rPr>
          <w:rFonts w:eastAsia="Calibri" w:cs="Sylfaen"/>
          <w:sz w:val="22"/>
          <w:lang w:val="ka-GE"/>
        </w:rPr>
        <w:t>0%-ის ოდენობით</w:t>
      </w:r>
      <w:r>
        <w:rPr>
          <w:rFonts w:eastAsia="Calibri" w:cs="Sylfaen"/>
          <w:sz w:val="22"/>
          <w:lang w:val="ka-GE"/>
        </w:rPr>
        <w:t xml:space="preserve">. ამასთან, გამომდინარე იქიდან, რომ ქვეპროგრამა სხვა </w:t>
      </w:r>
      <w:r w:rsidRPr="00151886">
        <w:rPr>
          <w:rFonts w:eastAsia="Calibri" w:cs="Sylfaen"/>
          <w:sz w:val="22"/>
          <w:lang w:val="ka-GE"/>
        </w:rPr>
        <w:t xml:space="preserve">ღონისძიებებთან ერთად, ითვალისწინებდა კვებით უზრუნველყოფას (რაც საშუალოდ სერვისის ხარჯის </w:t>
      </w:r>
      <w:r w:rsidRPr="00151886">
        <w:rPr>
          <w:color w:val="000000"/>
          <w:sz w:val="22"/>
          <w:shd w:val="clear" w:color="auto" w:fill="FFFFFF"/>
          <w:lang w:val="ka-GE"/>
        </w:rPr>
        <w:t>35</w:t>
      </w:r>
      <w:r w:rsidRPr="00151886">
        <w:rPr>
          <w:sz w:val="22"/>
          <w:lang w:val="ka-GE"/>
        </w:rPr>
        <w:t>-40%-ს</w:t>
      </w:r>
      <w:r>
        <w:rPr>
          <w:sz w:val="22"/>
          <w:lang w:val="ka-GE"/>
        </w:rPr>
        <w:t xml:space="preserve"> შეადგენდა), დღის ცენტრების ბენეფიციარებისთვის ერთჯერადად გაიცემა </w:t>
      </w:r>
      <w:r w:rsidRPr="00525326">
        <w:rPr>
          <w:rFonts w:eastAsia="Calibri" w:cs="Sylfaen"/>
          <w:sz w:val="22"/>
          <w:lang w:val="ka-GE"/>
        </w:rPr>
        <w:t>160 ლარის ღირებულების (მარტი, აპრილი) კვების ვაუჩერი,  რომლითაც ისინი შეძლებენ მიიღონ სასურველი კვების პროდუქტი;</w:t>
      </w:r>
    </w:p>
    <w:p w:rsidR="00525326" w:rsidRPr="00525326" w:rsidRDefault="00525326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  <w:r w:rsidRPr="00525326">
        <w:rPr>
          <w:rFonts w:eastAsia="Calibri" w:cs="Sylfaen"/>
          <w:sz w:val="22"/>
          <w:lang w:val="ka-GE"/>
        </w:rPr>
        <w:t xml:space="preserve">-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</w:t>
      </w:r>
      <w:proofErr w:type="spellStart"/>
      <w:r w:rsidRPr="00525326">
        <w:rPr>
          <w:rFonts w:eastAsia="Calibri" w:cs="Sylfaen"/>
          <w:sz w:val="22"/>
          <w:lang w:val="ka-GE"/>
        </w:rPr>
        <w:t>ანაზღაურება</w:t>
      </w:r>
      <w:proofErr w:type="spellEnd"/>
      <w:r w:rsidRPr="00525326">
        <w:rPr>
          <w:rFonts w:eastAsia="Calibri" w:cs="Sylfaen"/>
          <w:sz w:val="22"/>
          <w:lang w:val="ka-GE"/>
        </w:rPr>
        <w:t xml:space="preserve"> განხორციელდება თვის ვაუჩერის ღირებულების</w:t>
      </w:r>
      <w:r>
        <w:rPr>
          <w:rFonts w:eastAsia="Calibri" w:cs="Sylfaen"/>
          <w:sz w:val="22"/>
          <w:lang w:val="ka-GE"/>
        </w:rPr>
        <w:t xml:space="preserve"> </w:t>
      </w:r>
      <w:r w:rsidRPr="00525326">
        <w:rPr>
          <w:rFonts w:eastAsia="Calibri" w:cs="Sylfaen"/>
          <w:sz w:val="22"/>
          <w:lang w:val="ka-GE"/>
        </w:rPr>
        <w:t>70%-ის ოდენობით</w:t>
      </w:r>
      <w:r>
        <w:rPr>
          <w:rFonts w:eastAsia="Calibri" w:cs="Sylfaen"/>
          <w:sz w:val="22"/>
        </w:rPr>
        <w:t>;</w:t>
      </w:r>
    </w:p>
    <w:p w:rsid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  <w:r w:rsidRPr="00525326"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მიუსაფარ ბავშვთა თავშესაფრით უზრუნველყოფის ქვეპროგრამის ფარგლებში</w:t>
      </w:r>
      <w:r>
        <w:rPr>
          <w:rFonts w:eastAsia="Calibri" w:cs="Sylfaen"/>
          <w:sz w:val="22"/>
          <w:lang w:val="ka-GE"/>
        </w:rPr>
        <w:t xml:space="preserve"> ანაზღაურდება </w:t>
      </w:r>
      <w:r w:rsidRPr="00AE7C0F">
        <w:rPr>
          <w:rFonts w:eastAsia="Calibri" w:cs="Sylfaen"/>
          <w:sz w:val="22"/>
          <w:lang w:val="ka-GE"/>
        </w:rPr>
        <w:t>მომსახურების ლიმიტით განსაზღვრული ადგილების</w:t>
      </w:r>
      <w:r>
        <w:rPr>
          <w:rFonts w:eastAsia="Calibri" w:cs="Sylfaen"/>
          <w:sz w:val="22"/>
          <w:lang w:val="ka-GE"/>
        </w:rPr>
        <w:t xml:space="preserve"> 60%. ამასთან, მოეწყობა საკარანტინე სივრცე, სადაც უწყვეტ</w:t>
      </w:r>
      <w:r w:rsidRPr="00AE7C0F">
        <w:rPr>
          <w:rFonts w:eastAsia="Calibri" w:cs="Sylfaen"/>
          <w:sz w:val="22"/>
          <w:lang w:val="ka-GE"/>
        </w:rPr>
        <w:t xml:space="preserve"> </w:t>
      </w:r>
      <w:r>
        <w:rPr>
          <w:rFonts w:eastAsia="Calibri" w:cs="Sylfaen"/>
          <w:sz w:val="22"/>
          <w:lang w:val="ka-GE"/>
        </w:rPr>
        <w:t>მეთვალყურეობა</w:t>
      </w:r>
      <w:r w:rsidRPr="00AE7C0F">
        <w:rPr>
          <w:rFonts w:eastAsia="Calibri" w:cs="Sylfaen"/>
          <w:sz w:val="22"/>
          <w:lang w:val="ka-GE"/>
        </w:rPr>
        <w:t>ს/</w:t>
      </w:r>
      <w:r>
        <w:rPr>
          <w:rFonts w:eastAsia="Calibri" w:cs="Sylfaen"/>
          <w:sz w:val="22"/>
          <w:lang w:val="ka-GE"/>
        </w:rPr>
        <w:t>მორიგეობა</w:t>
      </w:r>
      <w:r w:rsidRPr="00AE7C0F">
        <w:rPr>
          <w:rFonts w:eastAsia="Calibri" w:cs="Sylfaen"/>
          <w:sz w:val="22"/>
          <w:lang w:val="ka-GE"/>
        </w:rPr>
        <w:t>ს</w:t>
      </w:r>
      <w:r>
        <w:rPr>
          <w:rFonts w:eastAsia="Calibri" w:cs="Sylfaen"/>
          <w:sz w:val="22"/>
          <w:lang w:val="ka-GE"/>
        </w:rPr>
        <w:t xml:space="preserve"> განახორციელებენ მობილური ჯგუფები;</w:t>
      </w:r>
      <w:r w:rsidR="00E8152C">
        <w:rPr>
          <w:rFonts w:eastAsia="Calibri" w:cs="Sylfaen"/>
          <w:sz w:val="22"/>
          <w:lang w:val="ka-GE"/>
        </w:rPr>
        <w:t xml:space="preserve"> შესაბამისად, 3300 ლარიდან 4000 ლარამდე გაიზრდება მათი დაფინანსება; </w:t>
      </w:r>
    </w:p>
    <w:p w:rsidR="00525326" w:rsidRDefault="00525326" w:rsidP="008314C9">
      <w:pPr>
        <w:pStyle w:val="ListParagraph"/>
        <w:jc w:val="both"/>
        <w:rPr>
          <w:rFonts w:eastAsia="Calibri" w:cs="Sylfaen"/>
          <w:b/>
          <w:sz w:val="22"/>
          <w:lang w:val="ka-GE"/>
        </w:rPr>
      </w:pPr>
    </w:p>
    <w:p w:rsid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</w:p>
    <w:p w:rsidR="008314C9" w:rsidRPr="008314C9" w:rsidRDefault="008314C9" w:rsidP="008314C9">
      <w:pPr>
        <w:pStyle w:val="ListParagraph"/>
        <w:jc w:val="both"/>
        <w:rPr>
          <w:sz w:val="22"/>
          <w:lang w:val="ka-GE"/>
        </w:rPr>
      </w:pPr>
    </w:p>
    <w:p w:rsidR="008314C9" w:rsidRP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</w:p>
    <w:p w:rsidR="008314C9" w:rsidRPr="008314C9" w:rsidRDefault="008314C9" w:rsidP="008314C9">
      <w:pPr>
        <w:pStyle w:val="ListParagraph"/>
        <w:jc w:val="both"/>
        <w:rPr>
          <w:sz w:val="22"/>
          <w:lang w:val="ka-GE"/>
        </w:rPr>
      </w:pPr>
    </w:p>
    <w:sectPr w:rsidR="008314C9" w:rsidRPr="008314C9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A45AF"/>
    <w:multiLevelType w:val="hybridMultilevel"/>
    <w:tmpl w:val="0E18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DD"/>
    <w:rsid w:val="000610E9"/>
    <w:rsid w:val="00214550"/>
    <w:rsid w:val="00343075"/>
    <w:rsid w:val="003C659C"/>
    <w:rsid w:val="00525326"/>
    <w:rsid w:val="00784CB8"/>
    <w:rsid w:val="00786D9C"/>
    <w:rsid w:val="007A22FC"/>
    <w:rsid w:val="008314C9"/>
    <w:rsid w:val="008A0982"/>
    <w:rsid w:val="009119DD"/>
    <w:rsid w:val="00A63A00"/>
    <w:rsid w:val="00BF31E5"/>
    <w:rsid w:val="00C52129"/>
    <w:rsid w:val="00CB07DB"/>
    <w:rsid w:val="00D112CA"/>
    <w:rsid w:val="00D35094"/>
    <w:rsid w:val="00DB64F8"/>
    <w:rsid w:val="00DD4958"/>
    <w:rsid w:val="00E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D1A98"/>
  <w15:chartTrackingRefBased/>
  <w15:docId w15:val="{F8EA1ACE-086E-4EEA-9C12-C94ACE9D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6</cp:revision>
  <dcterms:created xsi:type="dcterms:W3CDTF">2020-04-01T09:01:00Z</dcterms:created>
  <dcterms:modified xsi:type="dcterms:W3CDTF">2020-04-15T11:16:00Z</dcterms:modified>
</cp:coreProperties>
</file>