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D31D" w14:textId="77777777" w:rsidR="00566228" w:rsidRPr="00A0256B" w:rsidRDefault="00566228" w:rsidP="00566228">
      <w:pPr>
        <w:spacing w:line="240" w:lineRule="auto"/>
        <w:ind w:right="310"/>
        <w:jc w:val="both"/>
        <w:rPr>
          <w:rFonts w:ascii="Sylfaen" w:hAnsi="Sylfaen"/>
          <w:szCs w:val="22"/>
          <w:lang w:val="ka-GE"/>
        </w:rPr>
      </w:pPr>
      <w:bookmarkStart w:id="0" w:name="_GoBack"/>
      <w:bookmarkEnd w:id="0"/>
    </w:p>
    <w:p w14:paraId="5E030308" w14:textId="77777777" w:rsidR="00566228" w:rsidRPr="00A0256B" w:rsidRDefault="00566228" w:rsidP="00566228">
      <w:pPr>
        <w:tabs>
          <w:tab w:val="left" w:pos="5670"/>
        </w:tabs>
        <w:spacing w:after="0" w:line="240" w:lineRule="auto"/>
        <w:contextualSpacing/>
        <w:jc w:val="center"/>
        <w:rPr>
          <w:rFonts w:ascii="Sylfaen" w:hAnsi="Sylfaen" w:cs="Sylfaen"/>
          <w:b/>
          <w:szCs w:val="22"/>
        </w:rPr>
      </w:pPr>
      <w:r w:rsidRPr="00A0256B">
        <w:rPr>
          <w:rFonts w:ascii="Sylfaen" w:hAnsi="Sylfaen" w:cs="Sylfaen"/>
          <w:b/>
          <w:szCs w:val="22"/>
          <w:lang w:val="ka-GE"/>
        </w:rPr>
        <w:t>განმარტებითი</w:t>
      </w:r>
      <w:r w:rsidRPr="00A0256B">
        <w:rPr>
          <w:rFonts w:ascii="Sylfaen" w:hAnsi="Sylfaen" w:cs="Calibri"/>
          <w:b/>
          <w:szCs w:val="22"/>
          <w:lang w:val="ka-GE"/>
        </w:rPr>
        <w:t xml:space="preserve"> </w:t>
      </w:r>
      <w:r w:rsidRPr="00A0256B">
        <w:rPr>
          <w:rFonts w:ascii="Sylfaen" w:hAnsi="Sylfaen" w:cs="Sylfaen"/>
          <w:b/>
          <w:szCs w:val="22"/>
          <w:lang w:val="ka-GE"/>
        </w:rPr>
        <w:t>ბარათი</w:t>
      </w:r>
    </w:p>
    <w:p w14:paraId="349841B8" w14:textId="77777777" w:rsidR="00566228" w:rsidRPr="00A0256B" w:rsidRDefault="00566228" w:rsidP="00566228">
      <w:pPr>
        <w:tabs>
          <w:tab w:val="left" w:pos="5670"/>
        </w:tabs>
        <w:spacing w:after="0" w:line="240" w:lineRule="auto"/>
        <w:contextualSpacing/>
        <w:jc w:val="center"/>
        <w:rPr>
          <w:rFonts w:ascii="Sylfaen" w:hAnsi="Sylfaen" w:cs="Calibri"/>
          <w:b/>
          <w:szCs w:val="22"/>
        </w:rPr>
      </w:pPr>
    </w:p>
    <w:p w14:paraId="501DF454" w14:textId="77777777" w:rsidR="00566228" w:rsidRPr="00A0256B" w:rsidRDefault="00566228" w:rsidP="00566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r w:rsidRPr="00A0256B">
        <w:rPr>
          <w:rFonts w:ascii="Sylfaen" w:eastAsia="Sylfaen" w:hAnsi="Sylfaen"/>
          <w:b/>
          <w:szCs w:val="22"/>
          <w:lang w:val="ka-GE"/>
        </w:rPr>
        <w:t xml:space="preserve">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დამტკიცების შესახებ </w:t>
      </w:r>
    </w:p>
    <w:p w14:paraId="2833151B" w14:textId="77777777" w:rsidR="00566228" w:rsidRPr="00A0256B" w:rsidRDefault="00566228" w:rsidP="00566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firstLine="720"/>
        <w:contextualSpacing/>
        <w:jc w:val="center"/>
        <w:rPr>
          <w:rFonts w:ascii="Sylfaen" w:eastAsia="Sylfaen" w:hAnsi="Sylfaen"/>
          <w:b/>
          <w:szCs w:val="22"/>
          <w:lang w:val="ka-GE"/>
        </w:rPr>
      </w:pPr>
    </w:p>
    <w:p w14:paraId="4ABD7770" w14:textId="77777777" w:rsidR="00566228" w:rsidRPr="00A0256B" w:rsidRDefault="00566228" w:rsidP="00566228">
      <w:pPr>
        <w:tabs>
          <w:tab w:val="left" w:pos="5670"/>
        </w:tabs>
        <w:spacing w:after="0" w:line="240" w:lineRule="auto"/>
        <w:contextualSpacing/>
        <w:jc w:val="center"/>
        <w:rPr>
          <w:rFonts w:ascii="Sylfaen" w:hAnsi="Sylfaen" w:cs="Calibri"/>
          <w:b/>
          <w:szCs w:val="22"/>
          <w:lang w:val="ka-GE"/>
        </w:rPr>
      </w:pPr>
      <w:proofErr w:type="spellStart"/>
      <w:proofErr w:type="gramStart"/>
      <w:r w:rsidRPr="00A0256B">
        <w:rPr>
          <w:rFonts w:ascii="Sylfaen" w:hAnsi="Sylfaen" w:cs="Sylfaen"/>
          <w:b/>
          <w:bCs/>
          <w:szCs w:val="22"/>
        </w:rPr>
        <w:t>საქართველოს</w:t>
      </w:r>
      <w:proofErr w:type="spellEnd"/>
      <w:proofErr w:type="gramEnd"/>
      <w:r w:rsidRPr="00A0256B">
        <w:rPr>
          <w:rFonts w:ascii="Sylfaen" w:hAnsi="Sylfaen" w:cs="Calibri"/>
          <w:b/>
          <w:bCs/>
          <w:szCs w:val="22"/>
        </w:rPr>
        <w:t xml:space="preserve"> </w:t>
      </w:r>
      <w:proofErr w:type="spellStart"/>
      <w:r w:rsidRPr="00A0256B">
        <w:rPr>
          <w:rFonts w:ascii="Sylfaen" w:hAnsi="Sylfaen" w:cs="Sylfaen"/>
          <w:b/>
          <w:bCs/>
          <w:szCs w:val="22"/>
        </w:rPr>
        <w:t>მთავრობის</w:t>
      </w:r>
      <w:proofErr w:type="spellEnd"/>
      <w:r w:rsidRPr="00A0256B">
        <w:rPr>
          <w:rFonts w:ascii="Sylfaen" w:hAnsi="Sylfaen" w:cs="Calibri"/>
          <w:b/>
          <w:bCs/>
          <w:szCs w:val="22"/>
        </w:rPr>
        <w:t xml:space="preserve"> </w:t>
      </w:r>
      <w:proofErr w:type="spellStart"/>
      <w:r w:rsidRPr="00A0256B">
        <w:rPr>
          <w:rFonts w:ascii="Sylfaen" w:hAnsi="Sylfaen" w:cs="Sylfaen"/>
          <w:b/>
          <w:bCs/>
          <w:szCs w:val="22"/>
        </w:rPr>
        <w:t>დადგენილების</w:t>
      </w:r>
      <w:proofErr w:type="spellEnd"/>
      <w:r w:rsidRPr="00A0256B">
        <w:rPr>
          <w:rFonts w:ascii="Sylfaen" w:hAnsi="Sylfaen" w:cs="Calibri"/>
          <w:b/>
          <w:bCs/>
          <w:szCs w:val="22"/>
        </w:rPr>
        <w:t xml:space="preserve"> </w:t>
      </w:r>
      <w:proofErr w:type="spellStart"/>
      <w:r w:rsidRPr="00A0256B">
        <w:rPr>
          <w:rFonts w:ascii="Sylfaen" w:hAnsi="Sylfaen" w:cs="Sylfaen"/>
          <w:b/>
          <w:bCs/>
          <w:szCs w:val="22"/>
        </w:rPr>
        <w:t>პროექტზე</w:t>
      </w:r>
      <w:proofErr w:type="spellEnd"/>
      <w:r w:rsidRPr="00A0256B">
        <w:rPr>
          <w:rFonts w:ascii="Sylfaen" w:hAnsi="Sylfaen" w:cs="Sylfaen"/>
          <w:b/>
          <w:bCs/>
          <w:szCs w:val="22"/>
          <w:lang w:val="ka-GE"/>
        </w:rPr>
        <w:t>:</w:t>
      </w:r>
    </w:p>
    <w:p w14:paraId="619BDA3A" w14:textId="77777777" w:rsidR="00566228" w:rsidRPr="00A0256B" w:rsidRDefault="00566228" w:rsidP="00566228">
      <w:pPr>
        <w:spacing w:line="240" w:lineRule="auto"/>
        <w:ind w:left="360"/>
        <w:contextualSpacing/>
        <w:jc w:val="center"/>
        <w:rPr>
          <w:rFonts w:ascii="Sylfaen" w:hAnsi="Sylfaen"/>
          <w:b/>
          <w:szCs w:val="22"/>
          <w:lang w:val="ka-GE"/>
        </w:rPr>
      </w:pPr>
    </w:p>
    <w:p w14:paraId="330FDB68" w14:textId="77777777" w:rsidR="00566228" w:rsidRPr="00A0256B" w:rsidRDefault="00566228" w:rsidP="00566228">
      <w:pPr>
        <w:spacing w:line="240" w:lineRule="auto"/>
        <w:ind w:left="360"/>
        <w:contextualSpacing/>
        <w:jc w:val="center"/>
        <w:rPr>
          <w:rFonts w:ascii="Sylfaen" w:hAnsi="Sylfaen"/>
          <w:b/>
          <w:szCs w:val="22"/>
          <w:lang w:val="ka-GE"/>
        </w:rPr>
      </w:pPr>
      <w:r w:rsidRPr="00A0256B">
        <w:rPr>
          <w:rFonts w:ascii="Sylfaen" w:hAnsi="Sylfaen"/>
          <w:b/>
          <w:szCs w:val="22"/>
          <w:lang w:val="ka-GE"/>
        </w:rPr>
        <w:t>ინფორმაცია სამართლებრივი აქტის პროექტის შესახებ</w:t>
      </w:r>
    </w:p>
    <w:p w14:paraId="0260F3AF" w14:textId="77777777" w:rsidR="00566228" w:rsidRPr="00A0256B" w:rsidRDefault="00566228" w:rsidP="00566228">
      <w:pPr>
        <w:spacing w:line="240" w:lineRule="auto"/>
        <w:ind w:left="360"/>
        <w:contextualSpacing/>
        <w:jc w:val="center"/>
        <w:rPr>
          <w:rFonts w:ascii="Sylfaen" w:hAnsi="Sylfaen"/>
          <w:b/>
          <w:szCs w:val="22"/>
          <w:lang w:val="ka-GE"/>
        </w:rPr>
      </w:pPr>
    </w:p>
    <w:p w14:paraId="5C713E50"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 მომზადდა შრომისა და დასაქმების  რეფორმის პროგრამის ფარგლებში. შრომის ბაზრის მოთხოვნად პროფესიებში სამუშაოს მაძიებელთა პროფესიული მომზადების, პროფესიული გადამზადებისა და სამუშაო ადგილებზე შემდგომი სტაჟირების, მათი კონკურენტუნარიანობის ამაღლებისა და ამ გზით სამუშაოს მაძიებელთა დასაქმების ხელშეწყობის მიზნით.  ასევე,   სამუშაოს მაძიებლები გადამზადდებიან საკვანძო კომპეტენციებში. სახელმწიფო პროგრესის მთავარი მამოძრავებელი ძალა ადამიანური კაპიტალია, ამიტომ ძალზედ მნიშვნელოვანია ერთის მხრივ, ადამიანური რესურსების განვითარებისათვის პირობების შექმნა და მეორეს მხრივ, მათი სწორად გამოყენება.</w:t>
      </w:r>
    </w:p>
    <w:p w14:paraId="7F7076AD"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შესაბამისად, სამუშაოს მაძიებელთა დასაქმების ხელშეწყობა, რაც აუცილებელი პირობაა შრომის ბაზრის მოთხოვნათა ცვლილებების მიხედვით მოქალაქეთა კომპეტენციების და უნარების განვითარების, მათი ცხოვრების დონის ამაღლებისა და კეთილდღეობის მისაღწევად.</w:t>
      </w:r>
    </w:p>
    <w:p w14:paraId="1885C61C"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საქართველოში უმუშევრობა ყველაზე მწვავე სოციალურ-ეკონომიკური პრობლემა და აქტუალური გამოწვევაა.  უმუშევარ მოსახლეობას შორის დომინანტია ახალგაზრდა თაობა, რაც კიდევ უფრო ზრდის სოციალურ რისკებს და საფრთხეს უქმნის ქვეყნის მომავალს. ნებისმიერი ქვეყნის ეკონომიკური განვითარების დაჩქარებისა და არსებული სოციალური პრობლემების გადაჭრისათვის უაღრესად დიდი მნიშვნელობა აქვს მოსახლეობის დასაქმების ხელშეწყობას, როგორც ბიზნეს-გარემოს სრულყოფის, ისე შრომის ბაზრის ეფექტიანი ფუნქციონირებისათვის საჭირო ღონისძიებების გატარების გზით.</w:t>
      </w:r>
    </w:p>
    <w:p w14:paraId="5F0DCC01"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 xml:space="preserve">მთელი ქვეყნის მასშტაბით, მოსახლეობის სოციალურ-ეკონომიკური მდგომარეობის გაუმჯობესების მიზნით, პროგრამაში გაწერილი აქტივობები და მათი მომსახურებათა განვითარება,  ხელმისაწვდომობისა და უწყვეტობის უზრუნველყოფა ხელს შეუწყობს შრომის ბაზრის აქტიური პოლიტიკის გატარებას. </w:t>
      </w:r>
    </w:p>
    <w:p w14:paraId="2F58262B" w14:textId="77777777" w:rsidR="00566228" w:rsidRPr="00A0256B" w:rsidRDefault="00566228" w:rsidP="00566228">
      <w:pPr>
        <w:spacing w:after="160" w:line="240" w:lineRule="auto"/>
        <w:ind w:left="720" w:right="360"/>
        <w:rPr>
          <w:rFonts w:ascii="Sylfaen" w:hAnsi="Sylfaen" w:cs="Arial"/>
          <w:b/>
          <w:szCs w:val="22"/>
          <w:lang w:val="ka-GE"/>
        </w:rPr>
      </w:pPr>
      <w:r w:rsidRPr="00A0256B">
        <w:rPr>
          <w:rFonts w:ascii="Sylfaen" w:hAnsi="Sylfaen" w:cs="Arial"/>
          <w:b/>
          <w:szCs w:val="22"/>
          <w:lang w:val="ka-GE"/>
        </w:rPr>
        <w:t>სახელმწიფო პროგრამა შედგება სხვადასხვა  კომპონენტისგან:</w:t>
      </w:r>
    </w:p>
    <w:p w14:paraId="63BD175C" w14:textId="77777777" w:rsidR="00566228" w:rsidRPr="00A0256B" w:rsidRDefault="00566228" w:rsidP="00566228">
      <w:pPr>
        <w:pStyle w:val="ListParagraph"/>
        <w:numPr>
          <w:ilvl w:val="0"/>
          <w:numId w:val="28"/>
        </w:numPr>
        <w:tabs>
          <w:tab w:val="left" w:pos="990"/>
        </w:tabs>
        <w:spacing w:after="160" w:line="240" w:lineRule="auto"/>
        <w:ind w:left="720" w:right="360" w:firstLine="0"/>
        <w:jc w:val="both"/>
        <w:rPr>
          <w:rFonts w:ascii="Sylfaen" w:eastAsia="Sylfaen" w:hAnsi="Sylfaen"/>
          <w:b/>
          <w:lang w:val="ka-GE"/>
        </w:rPr>
      </w:pPr>
      <w:r w:rsidRPr="00A0256B">
        <w:rPr>
          <w:rFonts w:ascii="Sylfaen" w:eastAsia="Sylfaen" w:hAnsi="Sylfaen"/>
          <w:b/>
          <w:bCs/>
          <w:lang w:val="ka-GE"/>
        </w:rPr>
        <w:t>პროფესიული  მომზადება და პროფესიული გადამზადება</w:t>
      </w:r>
      <w:r w:rsidRPr="00A0256B">
        <w:rPr>
          <w:rFonts w:ascii="Sylfaen" w:eastAsia="Sylfaen" w:hAnsi="Sylfaen"/>
          <w:b/>
          <w:lang w:val="ka-GE"/>
        </w:rPr>
        <w:t> - შრომის ბაზარზე მოთხოვნად პროფესიებში</w:t>
      </w:r>
      <w:r w:rsidRPr="00A0256B">
        <w:rPr>
          <w:rFonts w:ascii="Sylfaen" w:eastAsia="Sylfaen" w:hAnsi="Sylfaen"/>
          <w:b/>
        </w:rPr>
        <w:t>:</w:t>
      </w:r>
    </w:p>
    <w:p w14:paraId="68361928" w14:textId="77777777" w:rsidR="00566228" w:rsidRPr="00A0256B" w:rsidRDefault="00566228" w:rsidP="00566228">
      <w:pPr>
        <w:pStyle w:val="ListParagraph"/>
        <w:numPr>
          <w:ilvl w:val="0"/>
          <w:numId w:val="31"/>
        </w:numPr>
        <w:spacing w:after="160" w:line="240" w:lineRule="auto"/>
        <w:ind w:right="360"/>
        <w:jc w:val="both"/>
        <w:rPr>
          <w:rFonts w:ascii="Sylfaen" w:hAnsi="Sylfaen" w:cs="Sylfaen"/>
          <w:lang w:val="ka-GE"/>
        </w:rPr>
      </w:pPr>
      <w:r w:rsidRPr="00A0256B">
        <w:rPr>
          <w:rFonts w:ascii="Sylfaen" w:hAnsi="Sylfaen" w:cs="Sylfaen"/>
          <w:lang w:val="ka-GE"/>
        </w:rPr>
        <w:t>სამუშაოს მაძიებლები გადამზადდებიად მოთხოვნად პროფესიებში. პროფესიული  მომზადებისა და პროფესიული გადამზადების მიმწოდებლად  განისაზღვრა  ის იურიდიული პირი, რომელსაც ,,პროფესიული მომზადების პროგრამისა და პროფესიული გადამზადების პროგრამის განხორციელების უფლების მოპოვებისა და სახელმწიფოს მიერ აღიარებულად ჩათვლის წესისა და პირობების დამტკიცების თაობაზე“ საქართველოს მთავრობის 2019 წლის 15 მარტის №131 დადგენილების შესაბამისად მოპოვებული/დადასტურებული აქვს პროფესიული მომზადების/პროფესიული გადამზადების პროგრამის განხორციელების უფლება.</w:t>
      </w:r>
    </w:p>
    <w:p w14:paraId="7E701395" w14:textId="77777777" w:rsidR="00566228" w:rsidRPr="00A0256B" w:rsidRDefault="00566228" w:rsidP="00566228">
      <w:pPr>
        <w:pStyle w:val="ListParagraph"/>
        <w:numPr>
          <w:ilvl w:val="0"/>
          <w:numId w:val="31"/>
        </w:numPr>
        <w:spacing w:after="160" w:line="240" w:lineRule="auto"/>
        <w:ind w:right="360"/>
        <w:jc w:val="both"/>
        <w:rPr>
          <w:rFonts w:ascii="Sylfaen" w:hAnsi="Sylfaen" w:cs="Sylfaen"/>
          <w:lang w:val="ka-GE"/>
        </w:rPr>
      </w:pPr>
      <w:r w:rsidRPr="00A0256B">
        <w:rPr>
          <w:rFonts w:ascii="Sylfaen" w:hAnsi="Sylfaen" w:cs="Sylfaen"/>
          <w:lang w:val="ka-GE"/>
        </w:rPr>
        <w:t>სახელმწიფო პროგრამის ეფექტური განხორციელების მიზნით შექმნილი კომისია  უზრუნველყოფს თითოეულ პროგრამაზე მიმწოდებლის მიერ წარდგენილ ხარჯთაღრიცხვას და გონივრული მისადაგების ფარგლებში განსაზღვრავს მათ დაფინანსების საკითხს.</w:t>
      </w:r>
    </w:p>
    <w:p w14:paraId="2CAC253B" w14:textId="77777777" w:rsidR="00566228" w:rsidRPr="00A0256B" w:rsidRDefault="00566228" w:rsidP="00566228">
      <w:pPr>
        <w:pStyle w:val="ListParagraph"/>
        <w:numPr>
          <w:ilvl w:val="0"/>
          <w:numId w:val="28"/>
        </w:numPr>
        <w:tabs>
          <w:tab w:val="left" w:pos="990"/>
        </w:tabs>
        <w:spacing w:after="160" w:line="240" w:lineRule="auto"/>
        <w:ind w:left="720" w:right="360" w:hanging="90"/>
        <w:jc w:val="both"/>
        <w:rPr>
          <w:rFonts w:ascii="Sylfaen" w:eastAsia="Sylfaen" w:hAnsi="Sylfaen"/>
          <w:b/>
          <w:bCs/>
          <w:lang w:val="ka-GE"/>
        </w:rPr>
      </w:pPr>
      <w:r w:rsidRPr="00A0256B">
        <w:rPr>
          <w:rFonts w:ascii="Sylfaen" w:eastAsia="Sylfaen" w:hAnsi="Sylfaen"/>
          <w:b/>
          <w:bCs/>
          <w:lang w:val="ka-GE"/>
        </w:rPr>
        <w:lastRenderedPageBreak/>
        <w:t>კვალიფიკაციის ამაღლება (სტაჟირება) - დამსაქმებლებთან შეთანხმებით ვაკანტურ ან/და პერსპექტიულ სამუშაო ადგილზე/ადგილებზე. </w:t>
      </w:r>
    </w:p>
    <w:p w14:paraId="631D03B3" w14:textId="77777777" w:rsidR="00566228" w:rsidRPr="00A0256B" w:rsidRDefault="00566228" w:rsidP="00566228">
      <w:pPr>
        <w:pStyle w:val="ListParagraph"/>
        <w:spacing w:after="160" w:line="240" w:lineRule="auto"/>
        <w:ind w:left="1080" w:right="360"/>
        <w:rPr>
          <w:rFonts w:ascii="Sylfaen" w:eastAsia="Sylfaen" w:hAnsi="Sylfaen"/>
          <w:b/>
          <w:lang w:val="ka-GE"/>
        </w:rPr>
      </w:pPr>
    </w:p>
    <w:p w14:paraId="6B23DDDD" w14:textId="77777777" w:rsidR="00566228" w:rsidRPr="00A0256B" w:rsidRDefault="00566228" w:rsidP="00566228">
      <w:pPr>
        <w:pStyle w:val="ListParagraph"/>
        <w:numPr>
          <w:ilvl w:val="0"/>
          <w:numId w:val="31"/>
        </w:numPr>
        <w:spacing w:after="160" w:line="240" w:lineRule="auto"/>
        <w:ind w:right="360"/>
        <w:jc w:val="both"/>
        <w:rPr>
          <w:rFonts w:ascii="Sylfaen" w:hAnsi="Sylfaen"/>
        </w:rPr>
      </w:pPr>
      <w:r w:rsidRPr="00A0256B">
        <w:rPr>
          <w:rFonts w:ascii="Sylfaen" w:hAnsi="Sylfaen" w:cs="Sylfaen"/>
          <w:lang w:val="ka-GE"/>
        </w:rPr>
        <w:t>სტაჟირების</w:t>
      </w:r>
      <w:r w:rsidRPr="00A0256B">
        <w:rPr>
          <w:lang w:val="ka-GE"/>
        </w:rPr>
        <w:t xml:space="preserve"> </w:t>
      </w:r>
      <w:r w:rsidRPr="00A0256B">
        <w:rPr>
          <w:rFonts w:ascii="Sylfaen" w:hAnsi="Sylfaen" w:cs="Sylfaen"/>
          <w:lang w:val="ka-GE"/>
        </w:rPr>
        <w:t>მაქსიმალური</w:t>
      </w:r>
      <w:r w:rsidRPr="00A0256B">
        <w:rPr>
          <w:lang w:val="ka-GE"/>
        </w:rPr>
        <w:t xml:space="preserve"> </w:t>
      </w:r>
      <w:r w:rsidRPr="00A0256B">
        <w:rPr>
          <w:rFonts w:ascii="Sylfaen" w:hAnsi="Sylfaen" w:cs="Sylfaen"/>
          <w:lang w:val="ka-GE"/>
        </w:rPr>
        <w:t>ხანგრძლივობა</w:t>
      </w:r>
      <w:r w:rsidRPr="00A0256B">
        <w:rPr>
          <w:lang w:val="ka-GE"/>
        </w:rPr>
        <w:t xml:space="preserve"> </w:t>
      </w:r>
      <w:r w:rsidRPr="00A0256B">
        <w:rPr>
          <w:rFonts w:ascii="Sylfaen" w:hAnsi="Sylfaen" w:cs="Sylfaen"/>
          <w:lang w:val="ka-GE"/>
        </w:rPr>
        <w:t>არ</w:t>
      </w:r>
      <w:r w:rsidRPr="00A0256B">
        <w:rPr>
          <w:lang w:val="ka-GE"/>
        </w:rPr>
        <w:t xml:space="preserve"> </w:t>
      </w:r>
      <w:r w:rsidRPr="00A0256B">
        <w:rPr>
          <w:rFonts w:ascii="Sylfaen" w:hAnsi="Sylfaen" w:cs="Sylfaen"/>
          <w:lang w:val="ka-GE"/>
        </w:rPr>
        <w:t>აღემატება</w:t>
      </w:r>
      <w:r w:rsidRPr="00A0256B">
        <w:rPr>
          <w:lang w:val="ka-GE"/>
        </w:rPr>
        <w:t xml:space="preserve"> </w:t>
      </w:r>
      <w:r w:rsidRPr="00A0256B">
        <w:rPr>
          <w:rFonts w:ascii="Sylfaen" w:hAnsi="Sylfaen"/>
          <w:lang w:val="ka-GE"/>
        </w:rPr>
        <w:t>სამ</w:t>
      </w:r>
      <w:r w:rsidRPr="00A0256B">
        <w:rPr>
          <w:lang w:val="ka-GE"/>
        </w:rPr>
        <w:t xml:space="preserve"> </w:t>
      </w:r>
      <w:r w:rsidRPr="00A0256B">
        <w:rPr>
          <w:rFonts w:ascii="Sylfaen" w:hAnsi="Sylfaen" w:cs="Sylfaen"/>
          <w:lang w:val="ka-GE"/>
        </w:rPr>
        <w:t>კალენდარულ</w:t>
      </w:r>
      <w:r w:rsidRPr="00A0256B">
        <w:rPr>
          <w:lang w:val="ka-GE"/>
        </w:rPr>
        <w:t xml:space="preserve"> </w:t>
      </w:r>
      <w:r w:rsidRPr="00A0256B">
        <w:rPr>
          <w:rFonts w:ascii="Sylfaen" w:hAnsi="Sylfaen" w:cs="Sylfaen"/>
          <w:lang w:val="ka-GE"/>
        </w:rPr>
        <w:t>თვეს</w:t>
      </w:r>
      <w:r w:rsidRPr="00A0256B">
        <w:rPr>
          <w:lang w:val="ka-GE"/>
        </w:rPr>
        <w:t xml:space="preserve">, </w:t>
      </w:r>
      <w:r w:rsidRPr="00A0256B">
        <w:rPr>
          <w:rFonts w:ascii="Sylfaen" w:hAnsi="Sylfaen" w:cs="Sylfaen"/>
          <w:lang w:val="ka-GE"/>
        </w:rPr>
        <w:t>სტაჟირების</w:t>
      </w:r>
      <w:r w:rsidRPr="00A0256B">
        <w:rPr>
          <w:lang w:val="ka-GE"/>
        </w:rPr>
        <w:t xml:space="preserve"> </w:t>
      </w:r>
      <w:r w:rsidRPr="00A0256B">
        <w:rPr>
          <w:rFonts w:ascii="Sylfaen" w:hAnsi="Sylfaen" w:cs="Sylfaen"/>
          <w:lang w:val="ka-GE"/>
        </w:rPr>
        <w:t>დაფინანსება</w:t>
      </w:r>
      <w:r w:rsidRPr="00A0256B">
        <w:rPr>
          <w:lang w:val="ka-GE"/>
        </w:rPr>
        <w:t xml:space="preserve"> </w:t>
      </w:r>
      <w:r w:rsidRPr="00A0256B">
        <w:rPr>
          <w:rFonts w:ascii="Sylfaen" w:hAnsi="Sylfaen" w:cs="Sylfaen"/>
          <w:lang w:val="ka-GE"/>
        </w:rPr>
        <w:t>სახელმწიფოს</w:t>
      </w:r>
      <w:r w:rsidRPr="00A0256B">
        <w:rPr>
          <w:lang w:val="ka-GE"/>
        </w:rPr>
        <w:t xml:space="preserve"> </w:t>
      </w:r>
      <w:r w:rsidRPr="00A0256B">
        <w:rPr>
          <w:rFonts w:ascii="Sylfaen" w:hAnsi="Sylfaen" w:cs="Sylfaen"/>
          <w:lang w:val="ka-GE"/>
        </w:rPr>
        <w:t>მხრიდან</w:t>
      </w:r>
      <w:r w:rsidRPr="00A0256B">
        <w:rPr>
          <w:lang w:val="ka-GE"/>
        </w:rPr>
        <w:t xml:space="preserve"> </w:t>
      </w:r>
      <w:r w:rsidRPr="00A0256B">
        <w:rPr>
          <w:rFonts w:ascii="Sylfaen" w:hAnsi="Sylfaen" w:cs="Sylfaen"/>
          <w:lang w:val="ka-GE"/>
        </w:rPr>
        <w:t>განხორციელდება</w:t>
      </w:r>
      <w:r w:rsidRPr="00A0256B">
        <w:rPr>
          <w:lang w:val="ka-GE"/>
        </w:rPr>
        <w:t xml:space="preserve"> </w:t>
      </w:r>
      <w:r w:rsidRPr="00A0256B">
        <w:rPr>
          <w:rFonts w:ascii="Sylfaen" w:hAnsi="Sylfaen" w:cs="Sylfaen"/>
          <w:lang w:val="ka-GE"/>
        </w:rPr>
        <w:t>საგზურის</w:t>
      </w:r>
      <w:r w:rsidRPr="00A0256B">
        <w:rPr>
          <w:lang w:val="ka-GE"/>
        </w:rPr>
        <w:t xml:space="preserve"> </w:t>
      </w:r>
      <w:r w:rsidRPr="00A0256B">
        <w:rPr>
          <w:rFonts w:ascii="Sylfaen" w:hAnsi="Sylfaen" w:cs="Sylfaen"/>
          <w:lang w:val="ka-GE"/>
        </w:rPr>
        <w:t>სახით</w:t>
      </w:r>
      <w:r w:rsidRPr="00A0256B">
        <w:rPr>
          <w:lang w:val="ka-GE"/>
        </w:rPr>
        <w:t xml:space="preserve">, </w:t>
      </w:r>
      <w:r w:rsidRPr="00A0256B">
        <w:rPr>
          <w:rFonts w:ascii="Sylfaen" w:hAnsi="Sylfaen" w:cs="Sylfaen"/>
          <w:lang w:val="ka-GE"/>
        </w:rPr>
        <w:t>საგზურის</w:t>
      </w:r>
      <w:r w:rsidRPr="00A0256B">
        <w:rPr>
          <w:lang w:val="ka-GE"/>
        </w:rPr>
        <w:t xml:space="preserve"> </w:t>
      </w:r>
      <w:r w:rsidRPr="00A0256B">
        <w:rPr>
          <w:rFonts w:ascii="Sylfaen" w:hAnsi="Sylfaen" w:cs="Sylfaen"/>
          <w:lang w:val="ka-GE"/>
        </w:rPr>
        <w:t>ღირებულება</w:t>
      </w:r>
      <w:r w:rsidRPr="00A0256B">
        <w:rPr>
          <w:lang w:val="ka-GE"/>
        </w:rPr>
        <w:t xml:space="preserve"> </w:t>
      </w:r>
      <w:r w:rsidRPr="00A0256B">
        <w:rPr>
          <w:rFonts w:ascii="Sylfaen" w:hAnsi="Sylfaen" w:cs="Sylfaen"/>
          <w:lang w:val="ka-GE"/>
        </w:rPr>
        <w:t>შეადგენს</w:t>
      </w:r>
      <w:r w:rsidRPr="00A0256B">
        <w:rPr>
          <w:lang w:val="ka-GE"/>
        </w:rPr>
        <w:t xml:space="preserve"> </w:t>
      </w:r>
      <w:r w:rsidRPr="00A0256B">
        <w:rPr>
          <w:rFonts w:ascii="Sylfaen" w:hAnsi="Sylfaen" w:cs="Sylfaen"/>
          <w:lang w:val="ka-GE"/>
        </w:rPr>
        <w:t>თვეში</w:t>
      </w:r>
      <w:r w:rsidRPr="00A0256B">
        <w:rPr>
          <w:lang w:val="ka-GE"/>
        </w:rPr>
        <w:t xml:space="preserve"> </w:t>
      </w:r>
      <w:r w:rsidRPr="00A0256B">
        <w:t xml:space="preserve">200 </w:t>
      </w:r>
      <w:r w:rsidRPr="00A0256B">
        <w:rPr>
          <w:lang w:val="ka-GE"/>
        </w:rPr>
        <w:t xml:space="preserve"> </w:t>
      </w:r>
      <w:r w:rsidRPr="00A0256B">
        <w:rPr>
          <w:rFonts w:ascii="Sylfaen" w:hAnsi="Sylfaen" w:cs="Sylfaen"/>
          <w:lang w:val="ka-GE"/>
        </w:rPr>
        <w:t>ლარს</w:t>
      </w:r>
      <w:r w:rsidRPr="00A0256B">
        <w:rPr>
          <w:lang w:val="ka-GE"/>
        </w:rPr>
        <w:t>.</w:t>
      </w:r>
    </w:p>
    <w:p w14:paraId="5A036071" w14:textId="77777777" w:rsidR="00566228" w:rsidRPr="00A0256B" w:rsidRDefault="00566228" w:rsidP="00566228">
      <w:pPr>
        <w:pStyle w:val="ListParagraph"/>
        <w:spacing w:after="160" w:line="240" w:lineRule="auto"/>
        <w:ind w:right="360"/>
        <w:jc w:val="both"/>
        <w:rPr>
          <w:rFonts w:ascii="Sylfaen" w:hAnsi="Sylfaen"/>
        </w:rPr>
      </w:pPr>
    </w:p>
    <w:p w14:paraId="4E97C450" w14:textId="77777777" w:rsidR="00566228" w:rsidRPr="00A0256B" w:rsidRDefault="00566228" w:rsidP="00566228">
      <w:pPr>
        <w:spacing w:line="240" w:lineRule="auto"/>
        <w:ind w:left="720" w:right="360"/>
        <w:jc w:val="both"/>
        <w:rPr>
          <w:rFonts w:ascii="Sylfaen" w:hAnsi="Sylfaen"/>
          <w:b/>
          <w:szCs w:val="22"/>
          <w:lang w:val="ka-GE"/>
        </w:rPr>
      </w:pPr>
      <w:r w:rsidRPr="00A0256B">
        <w:rPr>
          <w:rFonts w:ascii="Sylfaen" w:hAnsi="Sylfaen"/>
          <w:b/>
          <w:szCs w:val="22"/>
          <w:lang w:val="ka-GE"/>
        </w:rPr>
        <w:t>პროექტის მიღებით გამოწვეული საფინანსო ეკონომიკური შედეგების გაანგარიშება</w:t>
      </w:r>
    </w:p>
    <w:p w14:paraId="2F53152B" w14:textId="77777777" w:rsidR="00566228" w:rsidRPr="00A0256B" w:rsidRDefault="00566228" w:rsidP="00566228">
      <w:pPr>
        <w:spacing w:line="240" w:lineRule="auto"/>
        <w:ind w:left="180" w:right="360" w:firstLine="720"/>
        <w:jc w:val="both"/>
        <w:rPr>
          <w:rFonts w:ascii="Sylfaen" w:hAnsi="Sylfaen" w:cs="Sylfaen"/>
          <w:szCs w:val="22"/>
          <w:lang w:val="ka-GE"/>
        </w:rPr>
      </w:pPr>
      <w:r w:rsidRPr="00A0256B">
        <w:rPr>
          <w:rFonts w:ascii="Sylfaen" w:hAnsi="Sylfaen" w:cs="Sylfaen"/>
          <w:szCs w:val="22"/>
          <w:lang w:val="ka-GE"/>
        </w:rPr>
        <w:t>საქართველოს მთავრობის დადგენილებით დამტკიცებული სახელმწიფო პროგრამის მიღება არ უკავშირდება 2020 წლის განმავლობაში სახელმწიფო ბიუჯეტიდან დამატებითი ხარჯების გაწევის აუცილებლობას, რაც შეეხება, 2020 წლის ღონისძიებების განხორციელების ფინანსურ ასპექტს,   სახელმწიფო პროგრამის ბიუჯეტი განისაზღვრება 2 090 000 (ორი მილიონ ოთხმოცდა ათი ათასი) ლარით.  პროგრამის (მათ შორის, პროგრამის ადმინისტრირების ხარჯების) დაფინანსების წყაროა წლიური საბიუჯეტო კანონით  ,,სამუშაოს მაძიებელთა პროფესიული მომზადება-გადამზადებისა და კვალიფიკაციის ამაღლება‘‘ პროგრამისათვის (27 05 - პროგრამული კოდი) გათვალისწინებული ასიგნება.</w:t>
      </w:r>
    </w:p>
    <w:p w14:paraId="215FDFE0" w14:textId="77777777" w:rsidR="00566228" w:rsidRPr="00A0256B" w:rsidRDefault="00566228" w:rsidP="00566228">
      <w:pPr>
        <w:pStyle w:val="NoSpacing"/>
        <w:ind w:right="360"/>
        <w:jc w:val="center"/>
        <w:rPr>
          <w:rFonts w:ascii="Sylfaen" w:eastAsia="Helvetica" w:hAnsi="Sylfaen" w:cs="Helvetica"/>
          <w:b/>
          <w:color w:val="000000"/>
          <w:lang w:val="en-US"/>
        </w:rPr>
      </w:pPr>
      <w:r w:rsidRPr="00A0256B">
        <w:rPr>
          <w:rFonts w:ascii="Sylfaen" w:eastAsia="Helvetica" w:hAnsi="Sylfaen" w:cs="Helvetica"/>
          <w:b/>
          <w:color w:val="000000"/>
        </w:rPr>
        <w:t>ინფორმაცია ევროკავშირის სამართლებრივი აქტის შესახებ</w:t>
      </w:r>
    </w:p>
    <w:p w14:paraId="761C5243" w14:textId="77777777" w:rsidR="00566228" w:rsidRPr="00A0256B" w:rsidRDefault="00566228" w:rsidP="00566228">
      <w:pPr>
        <w:pStyle w:val="NoSpacing"/>
        <w:ind w:right="360"/>
        <w:jc w:val="center"/>
        <w:rPr>
          <w:rFonts w:ascii="Sylfaen" w:eastAsia="Helvetica" w:hAnsi="Sylfaen" w:cs="Helvetica"/>
          <w:b/>
          <w:color w:val="000000"/>
          <w:lang w:val="en-US"/>
        </w:rPr>
      </w:pPr>
    </w:p>
    <w:p w14:paraId="378CD5E4" w14:textId="77777777" w:rsidR="00566228" w:rsidRPr="00A0256B" w:rsidRDefault="00566228" w:rsidP="00566228">
      <w:pPr>
        <w:spacing w:line="240" w:lineRule="auto"/>
        <w:ind w:left="180" w:right="36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0F667EB" w14:textId="77777777" w:rsidR="00566228" w:rsidRPr="00A0256B" w:rsidRDefault="00566228" w:rsidP="00566228">
      <w:pPr>
        <w:spacing w:line="240" w:lineRule="auto"/>
        <w:ind w:firstLine="810"/>
        <w:jc w:val="both"/>
        <w:rPr>
          <w:rFonts w:ascii="Sylfaen" w:hAnsi="Sylfaen"/>
          <w:b/>
          <w:szCs w:val="22"/>
          <w:lang w:val="ka-GE"/>
        </w:rPr>
      </w:pPr>
    </w:p>
    <w:p w14:paraId="77FD5EE9" w14:textId="77777777" w:rsidR="00566228" w:rsidRPr="00A0256B" w:rsidRDefault="00566228" w:rsidP="00566228">
      <w:pPr>
        <w:spacing w:line="240" w:lineRule="auto"/>
        <w:ind w:left="720"/>
        <w:jc w:val="center"/>
        <w:rPr>
          <w:rFonts w:ascii="Sylfaen" w:hAnsi="Sylfaen"/>
          <w:b/>
          <w:szCs w:val="22"/>
          <w:lang w:val="ka-GE"/>
        </w:rPr>
      </w:pPr>
      <w:r w:rsidRPr="00A0256B">
        <w:rPr>
          <w:rFonts w:ascii="Sylfaen" w:hAnsi="Sylfaen"/>
          <w:b/>
          <w:szCs w:val="22"/>
          <w:lang w:val="ka-GE"/>
        </w:rPr>
        <w:t>პროექტის მოსალოდნელი შედეგები</w:t>
      </w:r>
    </w:p>
    <w:p w14:paraId="4E2F07DB"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პროექტით გათვალისწინებული სახელმწიფო პროგრამის მოსალოდნელი შედეგია, პროგრამით მოსარგებლე რეგისტრირებულ სამუშაოს მაძიებელთა პროფესიული ცოდნისა და უნარ-ჩვევების ამაღლება, ამასთან, შრომის ბაზრის მოთხოვნის შესაბამისად სამუშაოს მაძიებელთა კონკურენტუნარიანობის გაზრდა, პროფესიული განათლების შრომის ბაზრის მოთხოვნებთან დაახლოება, დამსაქმებელთა და სამუშაოს მაძიებელთა შორის პროფესიული განათლების პოპულარიზაციის ხელშეწყობა და სამუშაოს მაძიებლების დასაქმების შესაძლებლობების ზრდა.</w:t>
      </w:r>
    </w:p>
    <w:p w14:paraId="7D4D3618" w14:textId="77777777" w:rsidR="00566228" w:rsidRPr="00A0256B" w:rsidRDefault="00566228" w:rsidP="00566228">
      <w:pPr>
        <w:spacing w:line="240" w:lineRule="auto"/>
        <w:ind w:left="180" w:right="310" w:firstLine="720"/>
        <w:jc w:val="both"/>
        <w:rPr>
          <w:rFonts w:ascii="Sylfaen" w:hAnsi="Sylfaen" w:cs="Sylfaen"/>
          <w:szCs w:val="22"/>
          <w:lang w:val="ka-GE"/>
        </w:rPr>
      </w:pPr>
    </w:p>
    <w:p w14:paraId="1621393F" w14:textId="77777777" w:rsidR="00566228" w:rsidRPr="00A0256B" w:rsidRDefault="00566228" w:rsidP="00566228">
      <w:pPr>
        <w:spacing w:line="240" w:lineRule="auto"/>
        <w:jc w:val="center"/>
        <w:rPr>
          <w:rFonts w:ascii="Sylfaen" w:hAnsi="Sylfaen"/>
          <w:b/>
          <w:szCs w:val="22"/>
          <w:lang w:val="ka-GE"/>
        </w:rPr>
      </w:pPr>
      <w:r w:rsidRPr="00A0256B">
        <w:rPr>
          <w:rFonts w:ascii="Sylfaen" w:hAnsi="Sylfaen"/>
          <w:b/>
          <w:szCs w:val="22"/>
          <w:lang w:val="ka-GE"/>
        </w:rPr>
        <w:t>პროექტის განხორციელების ვადები</w:t>
      </w:r>
    </w:p>
    <w:p w14:paraId="139DE98D"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დადგენილება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14:paraId="2C157A86" w14:textId="77777777" w:rsidR="00566228" w:rsidRPr="00A0256B" w:rsidRDefault="00566228" w:rsidP="00566228">
      <w:pPr>
        <w:spacing w:line="240" w:lineRule="auto"/>
        <w:jc w:val="center"/>
        <w:rPr>
          <w:rFonts w:ascii="Sylfaen" w:hAnsi="Sylfaen"/>
          <w:b/>
          <w:szCs w:val="22"/>
          <w:lang w:val="ka-GE"/>
        </w:rPr>
      </w:pPr>
      <w:r w:rsidRPr="00A0256B">
        <w:rPr>
          <w:rFonts w:ascii="Sylfaen" w:hAnsi="Sylfaen"/>
          <w:b/>
          <w:szCs w:val="22"/>
          <w:lang w:val="ka-GE"/>
        </w:rPr>
        <w:t>პროექტის ავტორი და წარმდგენი</w:t>
      </w:r>
    </w:p>
    <w:p w14:paraId="4F0A3847" w14:textId="77777777" w:rsidR="00566228" w:rsidRPr="00A0256B" w:rsidRDefault="00566228" w:rsidP="00566228">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62DAC8" w14:textId="561DCE37" w:rsidR="00566228" w:rsidRDefault="0056622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right"/>
        <w:rPr>
          <w:rFonts w:ascii="Sylfaen" w:eastAsia="Sylfaen" w:hAnsi="Sylfaen"/>
          <w:b/>
          <w:i/>
          <w:szCs w:val="22"/>
          <w:u w:val="single"/>
          <w:lang w:val="ka-GE"/>
        </w:rPr>
      </w:pPr>
    </w:p>
    <w:p w14:paraId="39ABF3B1" w14:textId="77777777" w:rsidR="00566228" w:rsidRDefault="00566228"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right"/>
        <w:rPr>
          <w:rFonts w:ascii="Sylfaen" w:eastAsia="Sylfaen" w:hAnsi="Sylfaen"/>
          <w:b/>
          <w:i/>
          <w:szCs w:val="22"/>
          <w:u w:val="single"/>
          <w:lang w:val="ka-GE"/>
        </w:rPr>
      </w:pPr>
    </w:p>
    <w:p w14:paraId="256D97D5" w14:textId="7D8EC1E5" w:rsidR="00DF2395" w:rsidRPr="00A0256B" w:rsidRDefault="006D597F" w:rsidP="00860ABC">
      <w:pPr>
        <w:spacing w:line="240" w:lineRule="auto"/>
        <w:ind w:right="310"/>
        <w:jc w:val="both"/>
        <w:rPr>
          <w:rFonts w:ascii="Sylfaen" w:hAnsi="Sylfaen"/>
          <w:szCs w:val="22"/>
          <w:lang w:val="ka-GE"/>
        </w:rPr>
      </w:pPr>
      <w:r w:rsidRPr="00A0256B">
        <w:rPr>
          <w:rFonts w:ascii="Sylfaen" w:hAnsi="Sylfaen"/>
          <w:szCs w:val="22"/>
          <w:lang w:val="ka-GE"/>
        </w:rPr>
        <w:t xml:space="preserve"> </w:t>
      </w:r>
    </w:p>
    <w:sectPr w:rsidR="00DF2395" w:rsidRPr="00A0256B" w:rsidSect="00AD29B2">
      <w:pgSz w:w="12240" w:h="15840"/>
      <w:pgMar w:top="900" w:right="450" w:bottom="630" w:left="9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00DEA6" w16cid:durableId="2210D8A6"/>
  <w16cid:commentId w16cid:paraId="1F7B0F66" w16cid:durableId="2210C72C"/>
  <w16cid:commentId w16cid:paraId="01034EC1" w16cid:durableId="2210C77B"/>
  <w16cid:commentId w16cid:paraId="15D95EFB" w16cid:durableId="2210B56C"/>
  <w16cid:commentId w16cid:paraId="4F1D8DA9" w16cid:durableId="2210B56D"/>
  <w16cid:commentId w16cid:paraId="68AFBF76" w16cid:durableId="2210C824"/>
  <w16cid:commentId w16cid:paraId="3BD07B5D" w16cid:durableId="2210B657"/>
  <w16cid:commentId w16cid:paraId="1EA3A9C3" w16cid:durableId="2210E652"/>
  <w16cid:commentId w16cid:paraId="1443C327" w16cid:durableId="2210B56E"/>
  <w16cid:commentId w16cid:paraId="214727BE" w16cid:durableId="2210B56F"/>
  <w16cid:commentId w16cid:paraId="2EB1548E" w16cid:durableId="2210DB2A"/>
  <w16cid:commentId w16cid:paraId="41CC5E2B" w16cid:durableId="2210B731"/>
  <w16cid:commentId w16cid:paraId="7AD990A4" w16cid:durableId="2210B570"/>
  <w16cid:commentId w16cid:paraId="23D1672C" w16cid:durableId="2210B572"/>
  <w16cid:commentId w16cid:paraId="1241FDDA" w16cid:durableId="2210C92E"/>
  <w16cid:commentId w16cid:paraId="6EAEFD8D" w16cid:durableId="2210DCC2"/>
  <w16cid:commentId w16cid:paraId="7A94C6B3" w16cid:durableId="2210E2A7"/>
  <w16cid:commentId w16cid:paraId="336FD149" w16cid:durableId="2210B573"/>
  <w16cid:commentId w16cid:paraId="2AD18CF2" w16cid:durableId="2210E2E0"/>
  <w16cid:commentId w16cid:paraId="6F9EED22" w16cid:durableId="2210B896"/>
  <w16cid:commentId w16cid:paraId="3EFC18C1" w16cid:durableId="2210B5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B18"/>
    <w:multiLevelType w:val="hybridMultilevel"/>
    <w:tmpl w:val="0E565926"/>
    <w:lvl w:ilvl="0" w:tplc="C32634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B28F6"/>
    <w:multiLevelType w:val="hybridMultilevel"/>
    <w:tmpl w:val="682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06368"/>
    <w:multiLevelType w:val="hybridMultilevel"/>
    <w:tmpl w:val="20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87C3C"/>
    <w:multiLevelType w:val="hybridMultilevel"/>
    <w:tmpl w:val="B788513C"/>
    <w:lvl w:ilvl="0" w:tplc="FF7E1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5B6CB3"/>
    <w:multiLevelType w:val="hybridMultilevel"/>
    <w:tmpl w:val="182EEEBE"/>
    <w:lvl w:ilvl="0" w:tplc="AA16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2B539BD"/>
    <w:multiLevelType w:val="hybridMultilevel"/>
    <w:tmpl w:val="557AB618"/>
    <w:lvl w:ilvl="0" w:tplc="81D40D80">
      <w:start w:val="1"/>
      <w:numFmt w:val="decimal"/>
      <w:lvlText w:val="%1."/>
      <w:lvlJc w:val="left"/>
      <w:pPr>
        <w:ind w:left="720" w:hanging="360"/>
      </w:pPr>
      <w:rPr>
        <w:rFonts w:eastAsia="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9692E"/>
    <w:multiLevelType w:val="hybridMultilevel"/>
    <w:tmpl w:val="BCDE10D6"/>
    <w:lvl w:ilvl="0" w:tplc="3F3E8F4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C35C63"/>
    <w:multiLevelType w:val="hybridMultilevel"/>
    <w:tmpl w:val="A50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E356C"/>
    <w:multiLevelType w:val="hybridMultilevel"/>
    <w:tmpl w:val="766C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52D31"/>
    <w:multiLevelType w:val="hybridMultilevel"/>
    <w:tmpl w:val="698C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97577"/>
    <w:multiLevelType w:val="hybridMultilevel"/>
    <w:tmpl w:val="A400126E"/>
    <w:lvl w:ilvl="0" w:tplc="881874B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48605D93"/>
    <w:multiLevelType w:val="multilevel"/>
    <w:tmpl w:val="2E9EEEAE"/>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4">
    <w:nsid w:val="4E001692"/>
    <w:multiLevelType w:val="hybridMultilevel"/>
    <w:tmpl w:val="86E688A8"/>
    <w:lvl w:ilvl="0" w:tplc="28743F5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1532CF2"/>
    <w:multiLevelType w:val="hybridMultilevel"/>
    <w:tmpl w:val="98383DEE"/>
    <w:lvl w:ilvl="0" w:tplc="0409000F">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854B0"/>
    <w:multiLevelType w:val="multilevel"/>
    <w:tmpl w:val="4B8003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C6A19AA"/>
    <w:multiLevelType w:val="hybridMultilevel"/>
    <w:tmpl w:val="DEA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117AF1"/>
    <w:multiLevelType w:val="hybridMultilevel"/>
    <w:tmpl w:val="7DDA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51F5C"/>
    <w:multiLevelType w:val="hybridMultilevel"/>
    <w:tmpl w:val="B01EF3EE"/>
    <w:lvl w:ilvl="0" w:tplc="239A0BD0">
      <w:start w:val="3"/>
      <w:numFmt w:val="bullet"/>
      <w:lvlText w:val="-"/>
      <w:lvlJc w:val="left"/>
      <w:pPr>
        <w:ind w:left="420" w:hanging="360"/>
      </w:pPr>
      <w:rPr>
        <w:rFonts w:ascii="Sylfaen" w:eastAsia="Times New Roman" w:hAnsi="Sylfaen"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5E4C5A8E"/>
    <w:multiLevelType w:val="hybridMultilevel"/>
    <w:tmpl w:val="16E81ADE"/>
    <w:lvl w:ilvl="0" w:tplc="2104E594">
      <w:start w:val="1"/>
      <w:numFmt w:val="decimal"/>
      <w:lvlText w:val="%1."/>
      <w:lvlJc w:val="left"/>
      <w:pPr>
        <w:ind w:left="720" w:hanging="360"/>
      </w:pPr>
      <w:rPr>
        <w:rFonts w:eastAsia="Sylfaen" w:cs="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C1FE7"/>
    <w:multiLevelType w:val="hybridMultilevel"/>
    <w:tmpl w:val="4A0C3CA4"/>
    <w:lvl w:ilvl="0" w:tplc="DDA0E8B6">
      <w:start w:val="1"/>
      <w:numFmt w:val="decimal"/>
      <w:lvlText w:val="%1."/>
      <w:lvlJc w:val="left"/>
      <w:pPr>
        <w:ind w:left="720" w:hanging="360"/>
      </w:pPr>
      <w:rPr>
        <w:rFonts w:eastAsia="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454CA4"/>
    <w:multiLevelType w:val="hybridMultilevel"/>
    <w:tmpl w:val="05C4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E7328"/>
    <w:multiLevelType w:val="hybridMultilevel"/>
    <w:tmpl w:val="209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D81B7E"/>
    <w:multiLevelType w:val="hybridMultilevel"/>
    <w:tmpl w:val="717C2E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8236F"/>
    <w:multiLevelType w:val="hybridMultilevel"/>
    <w:tmpl w:val="5B765628"/>
    <w:lvl w:ilvl="0" w:tplc="C3460FFC">
      <w:start w:val="1"/>
      <w:numFmt w:val="decimal"/>
      <w:lvlText w:val="%1."/>
      <w:lvlJc w:val="left"/>
      <w:pPr>
        <w:ind w:left="1080" w:hanging="360"/>
      </w:pPr>
      <w:rPr>
        <w:rFonts w:eastAsia="Calibri"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8E2139"/>
    <w:multiLevelType w:val="hybridMultilevel"/>
    <w:tmpl w:val="1C50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30ABF"/>
    <w:multiLevelType w:val="hybridMultilevel"/>
    <w:tmpl w:val="527A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3"/>
  </w:num>
  <w:num w:numId="3">
    <w:abstractNumId w:val="22"/>
  </w:num>
  <w:num w:numId="4">
    <w:abstractNumId w:val="7"/>
  </w:num>
  <w:num w:numId="5">
    <w:abstractNumId w:val="21"/>
  </w:num>
  <w:num w:numId="6">
    <w:abstractNumId w:val="27"/>
  </w:num>
  <w:num w:numId="7">
    <w:abstractNumId w:val="12"/>
  </w:num>
  <w:num w:numId="8">
    <w:abstractNumId w:val="10"/>
  </w:num>
  <w:num w:numId="9">
    <w:abstractNumId w:val="20"/>
  </w:num>
  <w:num w:numId="10">
    <w:abstractNumId w:val="11"/>
  </w:num>
  <w:num w:numId="11">
    <w:abstractNumId w:val="15"/>
  </w:num>
  <w:num w:numId="12">
    <w:abstractNumId w:val="26"/>
  </w:num>
  <w:num w:numId="13">
    <w:abstractNumId w:val="1"/>
  </w:num>
  <w:num w:numId="14">
    <w:abstractNumId w:val="3"/>
  </w:num>
  <w:num w:numId="15">
    <w:abstractNumId w:val="25"/>
  </w:num>
  <w:num w:numId="16">
    <w:abstractNumId w:val="0"/>
  </w:num>
  <w:num w:numId="17">
    <w:abstractNumId w:val="9"/>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28"/>
  </w:num>
  <w:num w:numId="23">
    <w:abstractNumId w:val="6"/>
  </w:num>
  <w:num w:numId="24">
    <w:abstractNumId w:val="16"/>
  </w:num>
  <w:num w:numId="25">
    <w:abstractNumId w:val="13"/>
  </w:num>
  <w:num w:numId="26">
    <w:abstractNumId w:val="17"/>
  </w:num>
  <w:num w:numId="27">
    <w:abstractNumId w:val="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8"/>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E"/>
    <w:rsid w:val="00005667"/>
    <w:rsid w:val="00007557"/>
    <w:rsid w:val="0002338C"/>
    <w:rsid w:val="00031B1B"/>
    <w:rsid w:val="00053EE9"/>
    <w:rsid w:val="00057822"/>
    <w:rsid w:val="00081731"/>
    <w:rsid w:val="00084F10"/>
    <w:rsid w:val="000A0836"/>
    <w:rsid w:val="000A23F3"/>
    <w:rsid w:val="000A288C"/>
    <w:rsid w:val="000A6B9E"/>
    <w:rsid w:val="000B2333"/>
    <w:rsid w:val="000B65D0"/>
    <w:rsid w:val="000C7F6D"/>
    <w:rsid w:val="000D0750"/>
    <w:rsid w:val="000E6C6F"/>
    <w:rsid w:val="000F0C0B"/>
    <w:rsid w:val="0010022A"/>
    <w:rsid w:val="001100BF"/>
    <w:rsid w:val="00130F89"/>
    <w:rsid w:val="001416A2"/>
    <w:rsid w:val="00153C08"/>
    <w:rsid w:val="00180375"/>
    <w:rsid w:val="00184248"/>
    <w:rsid w:val="00185CD9"/>
    <w:rsid w:val="0019201B"/>
    <w:rsid w:val="001B4D08"/>
    <w:rsid w:val="001C2148"/>
    <w:rsid w:val="001C3473"/>
    <w:rsid w:val="001E53B7"/>
    <w:rsid w:val="002242C9"/>
    <w:rsid w:val="00227428"/>
    <w:rsid w:val="00234C8F"/>
    <w:rsid w:val="00295578"/>
    <w:rsid w:val="002A54D4"/>
    <w:rsid w:val="002B2384"/>
    <w:rsid w:val="002B3D32"/>
    <w:rsid w:val="002D2134"/>
    <w:rsid w:val="002F10C3"/>
    <w:rsid w:val="002F1F2B"/>
    <w:rsid w:val="003047AB"/>
    <w:rsid w:val="00304C79"/>
    <w:rsid w:val="00307614"/>
    <w:rsid w:val="00343395"/>
    <w:rsid w:val="003536C0"/>
    <w:rsid w:val="00364684"/>
    <w:rsid w:val="00380450"/>
    <w:rsid w:val="0038349A"/>
    <w:rsid w:val="00390A2C"/>
    <w:rsid w:val="00395E2A"/>
    <w:rsid w:val="003A0A03"/>
    <w:rsid w:val="003D422E"/>
    <w:rsid w:val="003E4F6E"/>
    <w:rsid w:val="004016B6"/>
    <w:rsid w:val="00416D05"/>
    <w:rsid w:val="00421EE6"/>
    <w:rsid w:val="00425A11"/>
    <w:rsid w:val="004401C2"/>
    <w:rsid w:val="00460954"/>
    <w:rsid w:val="00474A4A"/>
    <w:rsid w:val="0049348E"/>
    <w:rsid w:val="00494A20"/>
    <w:rsid w:val="004A4EE9"/>
    <w:rsid w:val="004A67C6"/>
    <w:rsid w:val="004B697C"/>
    <w:rsid w:val="004C3615"/>
    <w:rsid w:val="004C4829"/>
    <w:rsid w:val="0051794F"/>
    <w:rsid w:val="00523EFA"/>
    <w:rsid w:val="005253CF"/>
    <w:rsid w:val="00553C87"/>
    <w:rsid w:val="00566228"/>
    <w:rsid w:val="0058059F"/>
    <w:rsid w:val="0058152A"/>
    <w:rsid w:val="005A4D5C"/>
    <w:rsid w:val="005B5A1D"/>
    <w:rsid w:val="005B63CA"/>
    <w:rsid w:val="005B6762"/>
    <w:rsid w:val="005D0497"/>
    <w:rsid w:val="005D4492"/>
    <w:rsid w:val="005E473B"/>
    <w:rsid w:val="005E4F35"/>
    <w:rsid w:val="006008FA"/>
    <w:rsid w:val="0060120D"/>
    <w:rsid w:val="006074CE"/>
    <w:rsid w:val="00644E37"/>
    <w:rsid w:val="00646BAC"/>
    <w:rsid w:val="00653280"/>
    <w:rsid w:val="006729A9"/>
    <w:rsid w:val="00681BB1"/>
    <w:rsid w:val="006868DA"/>
    <w:rsid w:val="006A0566"/>
    <w:rsid w:val="006A14E3"/>
    <w:rsid w:val="006A19FD"/>
    <w:rsid w:val="006A5337"/>
    <w:rsid w:val="006B3310"/>
    <w:rsid w:val="006B52DC"/>
    <w:rsid w:val="006D597F"/>
    <w:rsid w:val="006D7FA2"/>
    <w:rsid w:val="006E6A11"/>
    <w:rsid w:val="00704D4B"/>
    <w:rsid w:val="0072037F"/>
    <w:rsid w:val="00730913"/>
    <w:rsid w:val="00793E01"/>
    <w:rsid w:val="007A5B03"/>
    <w:rsid w:val="007B7863"/>
    <w:rsid w:val="00801739"/>
    <w:rsid w:val="00802776"/>
    <w:rsid w:val="00803835"/>
    <w:rsid w:val="0081072E"/>
    <w:rsid w:val="00812E4E"/>
    <w:rsid w:val="0083435C"/>
    <w:rsid w:val="008355AF"/>
    <w:rsid w:val="00840579"/>
    <w:rsid w:val="00860ABC"/>
    <w:rsid w:val="00884AD9"/>
    <w:rsid w:val="008853FD"/>
    <w:rsid w:val="008941AB"/>
    <w:rsid w:val="00897BC1"/>
    <w:rsid w:val="008B087E"/>
    <w:rsid w:val="008F3DF5"/>
    <w:rsid w:val="00901113"/>
    <w:rsid w:val="0090558F"/>
    <w:rsid w:val="0091079A"/>
    <w:rsid w:val="00932967"/>
    <w:rsid w:val="0098370F"/>
    <w:rsid w:val="009A442E"/>
    <w:rsid w:val="009E213A"/>
    <w:rsid w:val="009E243F"/>
    <w:rsid w:val="009E2E1B"/>
    <w:rsid w:val="009E3D9D"/>
    <w:rsid w:val="00A0256B"/>
    <w:rsid w:val="00A05CE6"/>
    <w:rsid w:val="00A079E0"/>
    <w:rsid w:val="00A13E40"/>
    <w:rsid w:val="00A22832"/>
    <w:rsid w:val="00A400EB"/>
    <w:rsid w:val="00A539E3"/>
    <w:rsid w:val="00A5653C"/>
    <w:rsid w:val="00A61915"/>
    <w:rsid w:val="00AA18CF"/>
    <w:rsid w:val="00AB19D8"/>
    <w:rsid w:val="00AD29B2"/>
    <w:rsid w:val="00AF4BB6"/>
    <w:rsid w:val="00B2310D"/>
    <w:rsid w:val="00B2315A"/>
    <w:rsid w:val="00B364A8"/>
    <w:rsid w:val="00B4188E"/>
    <w:rsid w:val="00B53CC7"/>
    <w:rsid w:val="00B55396"/>
    <w:rsid w:val="00B8085D"/>
    <w:rsid w:val="00B85869"/>
    <w:rsid w:val="00B9197C"/>
    <w:rsid w:val="00BA0E77"/>
    <w:rsid w:val="00BA62B2"/>
    <w:rsid w:val="00BA749B"/>
    <w:rsid w:val="00BB52F4"/>
    <w:rsid w:val="00BC6246"/>
    <w:rsid w:val="00BE28A7"/>
    <w:rsid w:val="00C103E1"/>
    <w:rsid w:val="00C31932"/>
    <w:rsid w:val="00C31BC2"/>
    <w:rsid w:val="00C360AE"/>
    <w:rsid w:val="00C725C4"/>
    <w:rsid w:val="00C800D3"/>
    <w:rsid w:val="00C84C98"/>
    <w:rsid w:val="00CB3249"/>
    <w:rsid w:val="00CC229D"/>
    <w:rsid w:val="00CD2124"/>
    <w:rsid w:val="00CD342F"/>
    <w:rsid w:val="00CF1887"/>
    <w:rsid w:val="00D04BA3"/>
    <w:rsid w:val="00D11138"/>
    <w:rsid w:val="00D21E4E"/>
    <w:rsid w:val="00D2486F"/>
    <w:rsid w:val="00D450E6"/>
    <w:rsid w:val="00D642B6"/>
    <w:rsid w:val="00D710B5"/>
    <w:rsid w:val="00D7587C"/>
    <w:rsid w:val="00D82055"/>
    <w:rsid w:val="00D916BB"/>
    <w:rsid w:val="00D93A1D"/>
    <w:rsid w:val="00DD429F"/>
    <w:rsid w:val="00DD57EE"/>
    <w:rsid w:val="00DF2395"/>
    <w:rsid w:val="00DF7D01"/>
    <w:rsid w:val="00E22189"/>
    <w:rsid w:val="00E32D97"/>
    <w:rsid w:val="00E34A34"/>
    <w:rsid w:val="00E47374"/>
    <w:rsid w:val="00E508FB"/>
    <w:rsid w:val="00E55773"/>
    <w:rsid w:val="00E63299"/>
    <w:rsid w:val="00E662D2"/>
    <w:rsid w:val="00E7656B"/>
    <w:rsid w:val="00E768D4"/>
    <w:rsid w:val="00E8582A"/>
    <w:rsid w:val="00E9379C"/>
    <w:rsid w:val="00EA5B80"/>
    <w:rsid w:val="00EC0A6E"/>
    <w:rsid w:val="00EC2413"/>
    <w:rsid w:val="00EC7C4B"/>
    <w:rsid w:val="00EE7FC9"/>
    <w:rsid w:val="00EF3BE9"/>
    <w:rsid w:val="00F05FD1"/>
    <w:rsid w:val="00F41395"/>
    <w:rsid w:val="00F5098B"/>
    <w:rsid w:val="00F57192"/>
    <w:rsid w:val="00F61FC3"/>
    <w:rsid w:val="00F65ADC"/>
    <w:rsid w:val="00F77D67"/>
    <w:rsid w:val="00F87EA8"/>
    <w:rsid w:val="00F9408F"/>
    <w:rsid w:val="00FD20A0"/>
    <w:rsid w:val="00FD240A"/>
    <w:rsid w:val="00FD4AD7"/>
    <w:rsid w:val="00FE11D9"/>
    <w:rsid w:val="00FE22E8"/>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47195">
      <w:bodyDiv w:val="1"/>
      <w:marLeft w:val="0"/>
      <w:marRight w:val="0"/>
      <w:marTop w:val="0"/>
      <w:marBottom w:val="0"/>
      <w:divBdr>
        <w:top w:val="none" w:sz="0" w:space="0" w:color="auto"/>
        <w:left w:val="none" w:sz="0" w:space="0" w:color="auto"/>
        <w:bottom w:val="none" w:sz="0" w:space="0" w:color="auto"/>
        <w:right w:val="none" w:sz="0" w:space="0" w:color="auto"/>
      </w:divBdr>
    </w:div>
    <w:div w:id="17454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Natia Khmaladze</cp:lastModifiedBy>
  <cp:revision>3</cp:revision>
  <cp:lastPrinted>2020-03-09T13:10:00Z</cp:lastPrinted>
  <dcterms:created xsi:type="dcterms:W3CDTF">2020-07-15T17:08:00Z</dcterms:created>
  <dcterms:modified xsi:type="dcterms:W3CDTF">2020-07-15T17:09:00Z</dcterms:modified>
</cp:coreProperties>
</file>