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60" w:firstLine="0"/>
        <w:jc w:val="both"/>
        <w:rPr>
          <w:rFonts w:ascii="Merriweather" w:cs="Merriweather" w:eastAsia="Merriweather" w:hAnsi="Merriweather"/>
          <w:b w:val="1"/>
          <w:color w:val="0e101a"/>
          <w:sz w:val="22"/>
          <w:szCs w:val="22"/>
        </w:rPr>
      </w:pPr>
      <w:r w:rsidDel="00000000" w:rsidR="00000000" w:rsidRPr="00000000">
        <w:rPr>
          <w:rtl w:val="0"/>
        </w:rPr>
      </w:r>
    </w:p>
    <w:p w:rsidR="00000000" w:rsidDel="00000000" w:rsidP="00000000" w:rsidRDefault="00000000" w:rsidRPr="00000000" w14:paraId="00000002">
      <w:pPr>
        <w:numPr>
          <w:ilvl w:val="2"/>
          <w:numId w:val="2"/>
        </w:numPr>
        <w:pBdr>
          <w:top w:space="0" w:sz="0" w:val="nil"/>
          <w:left w:space="0" w:sz="0" w:val="nil"/>
          <w:bottom w:space="0" w:sz="0" w:val="nil"/>
          <w:right w:space="0" w:sz="0" w:val="nil"/>
          <w:between w:space="0" w:sz="0" w:val="nil"/>
        </w:pBdr>
        <w:ind w:left="1080" w:hanging="360"/>
        <w:jc w:val="both"/>
        <w:rPr>
          <w:rFonts w:ascii="Merriweather" w:cs="Merriweather" w:eastAsia="Merriweather" w:hAnsi="Merriweather"/>
          <w:b w:val="1"/>
          <w:color w:val="0e101a"/>
          <w:sz w:val="22"/>
          <w:szCs w:val="22"/>
        </w:rPr>
      </w:pPr>
      <w:sdt>
        <w:sdtPr>
          <w:tag w:val="goog_rdk_0"/>
        </w:sdtPr>
        <w:sdtContent>
          <w:r w:rsidDel="00000000" w:rsidR="00000000" w:rsidRPr="00000000">
            <w:rPr>
              <w:rFonts w:ascii="Arial Unicode MS" w:cs="Arial Unicode MS" w:eastAsia="Arial Unicode MS" w:hAnsi="Arial Unicode MS"/>
              <w:b w:val="1"/>
              <w:color w:val="0e101a"/>
              <w:sz w:val="22"/>
              <w:szCs w:val="22"/>
              <w:rtl w:val="0"/>
            </w:rPr>
            <w:t xml:space="preserve">რა პრინციპით მოხდა დახმარების მიმღები თვითდასაქმებულების იდენტიფიცირება?</w:t>
          </w:r>
        </w:sdtContent>
      </w:sdt>
    </w:p>
    <w:p w:rsidR="00000000" w:rsidDel="00000000" w:rsidP="00000000" w:rsidRDefault="00000000" w:rsidRPr="00000000" w14:paraId="00000003">
      <w:pPr>
        <w:ind w:firstLine="213"/>
        <w:jc w:val="both"/>
        <w:rPr>
          <w:rFonts w:ascii="Merriweather" w:cs="Merriweather" w:eastAsia="Merriweather" w:hAnsi="Merriweather"/>
          <w:color w:val="0e101a"/>
          <w:sz w:val="22"/>
          <w:szCs w:val="22"/>
        </w:rPr>
      </w:pPr>
      <w:sdt>
        <w:sdtPr>
          <w:tag w:val="goog_rdk_1"/>
        </w:sdtPr>
        <w:sdtContent>
          <w:r w:rsidDel="00000000" w:rsidR="00000000" w:rsidRPr="00000000">
            <w:rPr>
              <w:rFonts w:ascii="Arial Unicode MS" w:cs="Arial Unicode MS" w:eastAsia="Arial Unicode MS" w:hAnsi="Arial Unicode MS"/>
              <w:color w:val="0e101a"/>
              <w:sz w:val="22"/>
              <w:szCs w:val="22"/>
              <w:rtl w:val="0"/>
            </w:rPr>
            <w:t xml:space="preserve">შემოსავლების სამსახურის მიერ იდენტიფიცირებულნი იყვნენ ის ინდივიდუალური მეწარმეები, მცირე ბიზნესის სტატუსის მქონე მეწარმე ფიზიკური პირები და ფიქსირებული გადასახადის გადამხდელი ფიზიკური პირები, რომელთაც მიმდინარე წლის პირველ კვარტალში უფიქსირდებოდათ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ფიზიკური პირები,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 </w:t>
          </w:r>
        </w:sdtContent>
      </w:sdt>
    </w:p>
    <w:p w:rsidR="00000000" w:rsidDel="00000000" w:rsidP="00000000" w:rsidRDefault="00000000" w:rsidRPr="00000000" w14:paraId="00000004">
      <w:pPr>
        <w:ind w:firstLine="213"/>
        <w:jc w:val="both"/>
        <w:rPr>
          <w:rFonts w:ascii="Merriweather" w:cs="Merriweather" w:eastAsia="Merriweather" w:hAnsi="Merriweather"/>
          <w:color w:val="0e101a"/>
          <w:sz w:val="22"/>
          <w:szCs w:val="22"/>
        </w:rPr>
      </w:pPr>
      <w:sdt>
        <w:sdtPr>
          <w:tag w:val="goog_rdk_2"/>
        </w:sdtPr>
        <w:sdtContent>
          <w:r w:rsidDel="00000000" w:rsidR="00000000" w:rsidRPr="00000000">
            <w:rPr>
              <w:rFonts w:ascii="Arial Unicode MS" w:cs="Arial Unicode MS" w:eastAsia="Arial Unicode MS" w:hAnsi="Arial Unicode MS"/>
              <w:color w:val="0e101a"/>
              <w:sz w:val="22"/>
              <w:szCs w:val="22"/>
              <w:rtl w:val="0"/>
            </w:rPr>
            <w:t xml:space="preserve">დაიდენტიფიცირებული პირები, ერთჯერადი 300 ლარიანი კომპენსაციის მიღების მიზნით, ვალდებულნი იყვნენ დარეგისტრირებულიყვნენ სარეგისტრაციო პორტალზე განმცხადებლად და შეევსოთ ელექტრონული განაცხადის ფორმა არაუგვიანეს 2020 წლის 1 აგვისტოსი.</w:t>
          </w:r>
        </w:sdtContent>
      </w:sdt>
    </w:p>
    <w:p w:rsidR="00000000" w:rsidDel="00000000" w:rsidP="00000000" w:rsidRDefault="00000000" w:rsidRPr="00000000" w14:paraId="00000005">
      <w:pPr>
        <w:ind w:firstLine="213"/>
        <w:jc w:val="both"/>
        <w:rPr>
          <w:rFonts w:ascii="Merriweather" w:cs="Merriweather" w:eastAsia="Merriweather" w:hAnsi="Merriweather"/>
          <w:color w:val="0e101a"/>
          <w:sz w:val="22"/>
          <w:szCs w:val="22"/>
        </w:rPr>
      </w:pPr>
      <w:r w:rsidDel="00000000" w:rsidR="00000000" w:rsidRPr="00000000">
        <w:rPr>
          <w:rtl w:val="0"/>
        </w:rPr>
      </w:r>
    </w:p>
    <w:p w:rsidR="00000000" w:rsidDel="00000000" w:rsidP="00000000" w:rsidRDefault="00000000" w:rsidRPr="00000000" w14:paraId="00000006">
      <w:pPr>
        <w:ind w:firstLine="213"/>
        <w:jc w:val="both"/>
        <w:rPr>
          <w:rFonts w:ascii="Merriweather" w:cs="Merriweather" w:eastAsia="Merriweather" w:hAnsi="Merriweather"/>
          <w:color w:val="0e101a"/>
          <w:sz w:val="22"/>
          <w:szCs w:val="22"/>
        </w:rPr>
      </w:pPr>
      <w:sdt>
        <w:sdtPr>
          <w:tag w:val="goog_rdk_3"/>
        </w:sdtPr>
        <w:sdtContent>
          <w:r w:rsidDel="00000000" w:rsidR="00000000" w:rsidRPr="00000000">
            <w:rPr>
              <w:rFonts w:ascii="Arial Unicode MS" w:cs="Arial Unicode MS" w:eastAsia="Arial Unicode MS" w:hAnsi="Arial Unicode MS"/>
              <w:color w:val="0e101a"/>
              <w:sz w:val="22"/>
              <w:szCs w:val="22"/>
              <w:rtl w:val="0"/>
            </w:rPr>
            <w:t xml:space="preserve">ასევე აღნიშნულ სარეგისტრაციო პორტალზე რეგისტრაცია შეეძლო ნებისმიერ ფიზიკურ პირს რომელიც საქართველოში გადასახადის გადამხდელად რეგისტრირებული პირისგან (გარდა არასამეწარმეო ფიზიკური პირებისა) წარადგენდა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sdtContent>
      </w:sdt>
    </w:p>
    <w:p w:rsidR="00000000" w:rsidDel="00000000" w:rsidP="00000000" w:rsidRDefault="00000000" w:rsidRPr="00000000" w14:paraId="00000007">
      <w:pPr>
        <w:spacing w:after="195" w:line="227" w:lineRule="auto"/>
        <w:ind w:left="214" w:right="218" w:firstLine="0"/>
        <w:jc w:val="both"/>
        <w:rPr>
          <w:rFonts w:ascii="Merriweather" w:cs="Merriweather" w:eastAsia="Merriweather" w:hAnsi="Merriweather"/>
        </w:rPr>
      </w:pPr>
      <w:r w:rsidDel="00000000" w:rsidR="00000000" w:rsidRPr="00000000">
        <w:rPr>
          <w:rtl w:val="0"/>
        </w:rPr>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ind w:left="1080" w:hanging="360"/>
        <w:jc w:val="both"/>
        <w:rPr>
          <w:rFonts w:ascii="Merriweather" w:cs="Merriweather" w:eastAsia="Merriweather" w:hAnsi="Merriweather"/>
          <w:b w:val="1"/>
          <w:color w:val="0e101a"/>
          <w:sz w:val="22"/>
          <w:szCs w:val="22"/>
        </w:rPr>
      </w:pPr>
      <w:sdt>
        <w:sdtPr>
          <w:tag w:val="goog_rdk_4"/>
        </w:sdtPr>
        <w:sdtContent>
          <w:r w:rsidDel="00000000" w:rsidR="00000000" w:rsidRPr="00000000">
            <w:rPr>
              <w:rFonts w:ascii="Arial Unicode MS" w:cs="Arial Unicode MS" w:eastAsia="Arial Unicode MS" w:hAnsi="Arial Unicode MS"/>
              <w:b w:val="1"/>
              <w:color w:val="0e101a"/>
              <w:sz w:val="22"/>
              <w:szCs w:val="22"/>
              <w:rtl w:val="0"/>
            </w:rPr>
            <w:t xml:space="preserve">რამდენიმე თვითდასაქმებულის საკითხი განიხილა კომისიამ და აქედან რამდენმა მიიღო საბოლოოდ დახმარება?</w:t>
          </w:r>
        </w:sdtContent>
      </w:sdt>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erriweather" w:cs="Merriweather" w:eastAsia="Merriweather" w:hAnsi="Merriweather"/>
          <w:color w:val="0e101a"/>
          <w:sz w:val="22"/>
          <w:szCs w:val="22"/>
        </w:rPr>
      </w:pPr>
      <w:sdt>
        <w:sdtPr>
          <w:tag w:val="goog_rdk_5"/>
        </w:sdtPr>
        <w:sdtContent>
          <w:r w:rsidDel="00000000" w:rsidR="00000000" w:rsidRPr="00000000">
            <w:rPr>
              <w:rFonts w:ascii="Arial Unicode MS" w:cs="Arial Unicode MS" w:eastAsia="Arial Unicode MS" w:hAnsi="Arial Unicode MS"/>
              <w:color w:val="0e101a"/>
              <w:sz w:val="22"/>
              <w:szCs w:val="22"/>
              <w:rtl w:val="0"/>
            </w:rPr>
            <w:t xml:space="preserve">კომისიამ განიხილა 123 910 პირის მონაცემები. აქედან კომპენსაცია მიიღო 121 625 პირმა.</w:t>
          </w:r>
        </w:sdtContent>
      </w:sdt>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erriweather" w:cs="Merriweather" w:eastAsia="Merriweather" w:hAnsi="Merriweather"/>
          <w:color w:val="0e101a"/>
          <w:sz w:val="22"/>
          <w:szCs w:val="22"/>
        </w:rPr>
      </w:pPr>
      <w:r w:rsidDel="00000000" w:rsidR="00000000" w:rsidRPr="00000000">
        <w:rPr>
          <w:rtl w:val="0"/>
        </w:rPr>
      </w:r>
    </w:p>
    <w:p w:rsidR="00000000" w:rsidDel="00000000" w:rsidP="00000000" w:rsidRDefault="00000000" w:rsidRPr="00000000" w14:paraId="0000000B">
      <w:pPr>
        <w:numPr>
          <w:ilvl w:val="2"/>
          <w:numId w:val="2"/>
        </w:numPr>
        <w:pBdr>
          <w:top w:space="0" w:sz="0" w:val="nil"/>
          <w:left w:space="0" w:sz="0" w:val="nil"/>
          <w:bottom w:space="0" w:sz="0" w:val="nil"/>
          <w:right w:space="0" w:sz="0" w:val="nil"/>
          <w:between w:space="0" w:sz="0" w:val="nil"/>
        </w:pBdr>
        <w:ind w:left="1080" w:hanging="360"/>
        <w:jc w:val="both"/>
        <w:rPr>
          <w:rFonts w:ascii="Merriweather" w:cs="Merriweather" w:eastAsia="Merriweather" w:hAnsi="Merriweather"/>
          <w:b w:val="1"/>
          <w:color w:val="0e101a"/>
          <w:sz w:val="22"/>
          <w:szCs w:val="22"/>
        </w:rPr>
      </w:pPr>
      <w:sdt>
        <w:sdtPr>
          <w:tag w:val="goog_rdk_6"/>
        </w:sdtPr>
        <w:sdtContent>
          <w:r w:rsidDel="00000000" w:rsidR="00000000" w:rsidRPr="00000000">
            <w:rPr>
              <w:rFonts w:ascii="Arial Unicode MS" w:cs="Arial Unicode MS" w:eastAsia="Arial Unicode MS" w:hAnsi="Arial Unicode MS"/>
              <w:b w:val="1"/>
              <w:color w:val="0e101a"/>
              <w:sz w:val="22"/>
              <w:szCs w:val="22"/>
              <w:rtl w:val="0"/>
            </w:rPr>
            <w:t xml:space="preserve">რა პრინციპით ხელმძღვანელობდა კომისია დახმარებაზე დადებითი გადაწყვეტილების მიღებისას?</w:t>
          </w:r>
        </w:sdtContent>
      </w:sdt>
    </w:p>
    <w:p w:rsidR="00000000" w:rsidDel="00000000" w:rsidP="00000000" w:rsidRDefault="00000000" w:rsidRPr="00000000" w14:paraId="0000000C">
      <w:pPr>
        <w:pBdr>
          <w:top w:space="0" w:sz="0" w:val="nil"/>
          <w:left w:space="0" w:sz="0" w:val="nil"/>
          <w:bottom w:space="0" w:sz="0" w:val="nil"/>
          <w:right w:space="0" w:sz="0" w:val="nil"/>
          <w:between w:space="0" w:sz="0" w:val="nil"/>
        </w:pBdr>
        <w:ind w:left="1080" w:firstLine="0"/>
        <w:jc w:val="both"/>
        <w:rPr>
          <w:rFonts w:ascii="Merriweather" w:cs="Merriweather" w:eastAsia="Merriweather" w:hAnsi="Merriweather"/>
          <w:b w:val="1"/>
          <w:color w:val="0e101a"/>
          <w:sz w:val="22"/>
          <w:szCs w:val="22"/>
        </w:rPr>
      </w:pPr>
      <w:r w:rsidDel="00000000" w:rsidR="00000000" w:rsidRPr="00000000">
        <w:rPr>
          <w:rtl w:val="0"/>
        </w:rPr>
      </w:r>
    </w:p>
    <w:p w:rsidR="00000000" w:rsidDel="00000000" w:rsidP="00000000" w:rsidRDefault="00000000" w:rsidRPr="00000000" w14:paraId="0000000D">
      <w:pPr>
        <w:jc w:val="both"/>
        <w:rPr>
          <w:rFonts w:ascii="Merriweather" w:cs="Merriweather" w:eastAsia="Merriweather" w:hAnsi="Merriweather"/>
          <w:color w:val="0e101a"/>
          <w:sz w:val="22"/>
          <w:szCs w:val="22"/>
        </w:rPr>
      </w:pPr>
      <w:sdt>
        <w:sdtPr>
          <w:tag w:val="goog_rdk_7"/>
        </w:sdtPr>
        <w:sdtContent>
          <w:r w:rsidDel="00000000" w:rsidR="00000000" w:rsidRPr="00000000">
            <w:rPr>
              <w:rFonts w:ascii="Arial Unicode MS" w:cs="Arial Unicode MS" w:eastAsia="Arial Unicode MS" w:hAnsi="Arial Unicode MS"/>
              <w:color w:val="0e101a"/>
              <w:sz w:val="22"/>
              <w:szCs w:val="22"/>
              <w:rtl w:val="0"/>
            </w:rPr>
            <w:t xml:space="preserve">პირებისთვის კომპენსაციის დანიშვნის თაობაზე გადაწყვეტილების მისაღებად შექმნილი უწყებათაშორისი კომისია და სამუშაო ჯგუფი დადებითი გადაწყვეტილების მიღებისას ხელმძღვანელობდა ქვემოთ ჩამოთვლილი კრიტერიუმებით, რომლებიც თავის მხრივ შემუშავდა შემდეგი სამართლებრივი აქტების საფუძველზე -საქართველოს მთავრობის 2020 წლის 4 მაისის #286-ე დადგენილება და ოკუპირებული ტერიტორიებიდან დევნილთა, შრომის, ჯანმრთელობისა და სოციალური დაცვის მინისტრის 2020 წლის 21 მაისის ბრძანება #01-23/ო.</w:t>
          </w:r>
        </w:sdtContent>
      </w:sdt>
    </w:p>
    <w:p w:rsidR="00000000" w:rsidDel="00000000" w:rsidP="00000000" w:rsidRDefault="00000000" w:rsidRPr="00000000" w14:paraId="0000000E">
      <w:pPr>
        <w:jc w:val="both"/>
        <w:rPr>
          <w:rFonts w:ascii="Merriweather" w:cs="Merriweather" w:eastAsia="Merriweather" w:hAnsi="Merriweather"/>
          <w:sz w:val="22"/>
          <w:szCs w:val="22"/>
        </w:rPr>
      </w:pPr>
      <w:sdt>
        <w:sdtPr>
          <w:tag w:val="goog_rdk_8"/>
        </w:sdtPr>
        <w:sdtContent>
          <w:r w:rsidDel="00000000" w:rsidR="00000000" w:rsidRPr="00000000">
            <w:rPr>
              <w:rFonts w:ascii="Arial Unicode MS" w:cs="Arial Unicode MS" w:eastAsia="Arial Unicode MS" w:hAnsi="Arial Unicode MS"/>
              <w:color w:val="0e101a"/>
              <w:sz w:val="22"/>
              <w:szCs w:val="22"/>
              <w:rtl w:val="0"/>
            </w:rPr>
            <w:t xml:space="preserve">განაცხადს ენიჭებოდა დადებითი სტატუსი, თუ წაროდგენილი დოკუმენტი </w:t>
          </w:r>
        </w:sdtContent>
      </w:sdt>
      <w:sdt>
        <w:sdtPr>
          <w:tag w:val="goog_rdk_9"/>
        </w:sdtPr>
        <w:sdtContent>
          <w:r w:rsidDel="00000000" w:rsidR="00000000" w:rsidRPr="00000000">
            <w:rPr>
              <w:rFonts w:ascii="Arial Unicode MS" w:cs="Arial Unicode MS" w:eastAsia="Arial Unicode MS" w:hAnsi="Arial Unicode MS"/>
              <w:sz w:val="22"/>
              <w:szCs w:val="22"/>
              <w:rtl w:val="0"/>
            </w:rPr>
            <w:t xml:space="preserve">აკმაყოფილებ</w:t>
          </w:r>
        </w:sdtContent>
      </w:sdt>
      <w:sdt>
        <w:sdtPr>
          <w:tag w:val="goog_rdk_10"/>
        </w:sdtPr>
        <w:sdtContent>
          <w:r w:rsidDel="00000000" w:rsidR="00000000" w:rsidRPr="00000000">
            <w:rPr>
              <w:rFonts w:ascii="Arial Unicode MS" w:cs="Arial Unicode MS" w:eastAsia="Arial Unicode MS" w:hAnsi="Arial Unicode MS"/>
              <w:rtl w:val="0"/>
            </w:rPr>
            <w:t xml:space="preserve">და</w:t>
          </w:r>
        </w:sdtContent>
      </w:sdt>
      <w:r w:rsidDel="00000000" w:rsidR="00000000" w:rsidRPr="00000000">
        <w:rPr>
          <w:rFonts w:ascii="Merriweather" w:cs="Merriweather" w:eastAsia="Merriweather" w:hAnsi="Merriweather"/>
          <w:sz w:val="22"/>
          <w:szCs w:val="22"/>
          <w:rtl w:val="0"/>
        </w:rPr>
        <w:t xml:space="preserve"> </w:t>
      </w:r>
      <w:sdt>
        <w:sdtPr>
          <w:tag w:val="goog_rdk_11"/>
        </w:sdtPr>
        <w:sdtContent>
          <w:r w:rsidDel="00000000" w:rsidR="00000000" w:rsidRPr="00000000">
            <w:rPr>
              <w:rFonts w:ascii="Arial Unicode MS" w:cs="Arial Unicode MS" w:eastAsia="Arial Unicode MS" w:hAnsi="Arial Unicode MS"/>
              <w:rtl w:val="0"/>
            </w:rPr>
            <w:t xml:space="preserve">286-ე </w:t>
          </w:r>
        </w:sdtContent>
      </w:sdt>
      <w:sdt>
        <w:sdtPr>
          <w:tag w:val="goog_rdk_12"/>
        </w:sdtPr>
        <w:sdtContent>
          <w:r w:rsidDel="00000000" w:rsidR="00000000" w:rsidRPr="00000000">
            <w:rPr>
              <w:rFonts w:ascii="Arial Unicode MS" w:cs="Arial Unicode MS" w:eastAsia="Arial Unicode MS" w:hAnsi="Arial Unicode MS"/>
              <w:sz w:val="22"/>
              <w:szCs w:val="22"/>
              <w:rtl w:val="0"/>
            </w:rPr>
            <w:t xml:space="preserve">დადგენილებით</w:t>
          </w:r>
        </w:sdtContent>
      </w:sdt>
      <w:sdt>
        <w:sdtPr>
          <w:tag w:val="goog_rdk_13"/>
        </w:sdtPr>
        <w:sdtContent>
          <w:r w:rsidDel="00000000" w:rsidR="00000000" w:rsidRPr="00000000">
            <w:rPr>
              <w:rFonts w:ascii="Arial Unicode MS" w:cs="Arial Unicode MS" w:eastAsia="Arial Unicode MS" w:hAnsi="Arial Unicode MS"/>
              <w:rtl w:val="0"/>
            </w:rPr>
            <w:t xml:space="preserve"> დამტკიცებული სახელმწიფო პროგრამის მეორე მუხლის „ვ“ ქვეპუნქტით</w:t>
          </w:r>
        </w:sdtContent>
      </w:sdt>
      <w:sdt>
        <w:sdtPr>
          <w:tag w:val="goog_rdk_14"/>
        </w:sdtPr>
        <w:sdtContent>
          <w:r w:rsidDel="00000000" w:rsidR="00000000" w:rsidRPr="00000000">
            <w:rPr>
              <w:rFonts w:ascii="Arial Unicode MS" w:cs="Arial Unicode MS" w:eastAsia="Arial Unicode MS" w:hAnsi="Arial Unicode MS"/>
              <w:sz w:val="22"/>
              <w:szCs w:val="22"/>
              <w:rtl w:val="0"/>
            </w:rPr>
            <w:t xml:space="preserve"> განსაზღვრულ პირობას, კერძოდ დოკუმენტის გამცემი პირი </w:t>
          </w:r>
        </w:sdtContent>
      </w:sdt>
      <w:sdt>
        <w:sdtPr>
          <w:tag w:val="goog_rdk_15"/>
        </w:sdtPr>
        <w:sdtContent>
          <w:r w:rsidDel="00000000" w:rsidR="00000000" w:rsidRPr="00000000">
            <w:rPr>
              <w:rFonts w:ascii="Arial Unicode MS" w:cs="Arial Unicode MS" w:eastAsia="Arial Unicode MS" w:hAnsi="Arial Unicode MS"/>
              <w:rtl w:val="0"/>
            </w:rPr>
            <w:t xml:space="preserve">რეგისტრირებული უნდა ყოფილიყო</w:t>
          </w:r>
        </w:sdtContent>
      </w:sdt>
      <w:sdt>
        <w:sdtPr>
          <w:tag w:val="goog_rdk_16"/>
        </w:sdtPr>
        <w:sdtContent>
          <w:r w:rsidDel="00000000" w:rsidR="00000000" w:rsidRPr="00000000">
            <w:rPr>
              <w:rFonts w:ascii="Arial Unicode MS" w:cs="Arial Unicode MS" w:eastAsia="Arial Unicode MS" w:hAnsi="Arial Unicode MS"/>
              <w:sz w:val="22"/>
              <w:szCs w:val="22"/>
              <w:rtl w:val="0"/>
            </w:rPr>
            <w:t xml:space="preserve"> გადასახადის გადამხდელად სსიპ შემოსავლების სამსახურში და წარმოდგენილი ცნობით უნდა მომხდარიყო პირის მიერ 2020 წლის პირველ კვარტალში განხორციელებული ეკონომიკური საქმიანობის დადასტურება. ეს დოკუმენტები იყო:</w:t>
          </w:r>
        </w:sdtContent>
      </w:sdt>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ლიცენზირებული ტაქსის მძღოლის აქტიური მოწმობები,</w:t>
          </w:r>
        </w:sdtContent>
      </w:sdt>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იჯარის ხელშეკრულებები,  დადებული სსიპ შემოსავლების სამსახურში რეგისტრირებულ და „აქტიური“ სტატუსის მქონე პირებთან. </w:t>
          </w:r>
        </w:sdtContent>
      </w:sdt>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მიღება-ჩაბარების აქტები გაფორმებული სსიპ შემოსავლების სამსახურში რეგისტრირებულ და „აქტიური“ სტატუსის მქონე პირებთან. </w:t>
          </w:r>
        </w:sdtContent>
      </w:sdt>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Airbnb და Booking.com -იდან ქართულენოვანი საბანკო ამონაწერები, </w:t>
          </w:r>
        </w:sdtContent>
      </w:sdt>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სასაქონლო ზედნადები. </w:t>
          </w:r>
        </w:sdtContent>
      </w:sdt>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საბანკო ინსტიტუტების მიერ გაცემული ცნობები, რითაც დასტურდებოდა სესხის გაცემა პირზე 2020 ან 2019 წლებში, მათი საქმიანობიდან მიღბული შემოსავლების დადასტურებით.</w:t>
          </w:r>
        </w:sdtContent>
      </w:sdt>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საბანკო ამონაწერი/საგადახდო დავალება იურიდიული პირების მიერ განხორციელებული ჩარიცხვებით. </w:t>
          </w:r>
        </w:sdtContent>
      </w:sdt>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ტაქსო პარკებისგან ან ავტოსადგურის ადმინსიტრაციისგან ან სხვა მოქმედი რეგისტრირებული პირისგან გაცემული ცნობები, რითაც ნაჩვენები იყო, რომ პირი ეწეოდა მგზავრთა გადაყვანას ან გადაზიდვის მომსახურებას. მიუხედავად იმ გარემოებისა, თუ პირს შეჩერებული ჰქონდა საქმინობა მხოლოდ 2020 წლის აპრილში.</w:t>
          </w:r>
        </w:sdtContent>
      </w:sdt>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გიდებზე გაცემული ცნობები პროფესიული სოციაციების მიერ, სადაც დასტურდებოდა მათი პროფესიული საქმიანობა ანდა შემოსავალი.</w:t>
          </w:r>
        </w:sdtContent>
      </w:sdt>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ძიძებზე გაცემული ცნობები საშუამავლო კომპანიებიდან, რითაც დასტურდებოდა, რომ პირი 2020 წლის პირველ კვარტალში მუშაობდა ძიძად.</w:t>
          </w:r>
        </w:sdtContent>
      </w:sdt>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2020 წლის აპრილის თვეში (პირველ მაისამდე) დაზუსტებული საგადასახადო დეკლარაციები. </w:t>
          </w:r>
        </w:sdtContent>
      </w:sdt>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საბანკო ჩარიცხვები უცხოური კომპანიებისგან (რომლებიც არ იძებნება საქართველოს შემოსავლების სასამხურის რეესტრში), თუ ჩარიცხვების დანიშნულებაში იკითხება, რომ თანხა მომსახურების სანაცვლოდ მიიღო.</w:t>
          </w:r>
        </w:sdtContent>
      </w:sdt>
    </w:p>
    <w:p w:rsidR="00000000" w:rsidDel="00000000" w:rsidP="00000000" w:rsidRDefault="00000000" w:rsidRPr="00000000" w14:paraId="0000001B">
      <w:pPr>
        <w:jc w:val="both"/>
        <w:rPr>
          <w:rFonts w:ascii="Merriweather" w:cs="Merriweather" w:eastAsia="Merriweather" w:hAnsi="Merriweather"/>
          <w:color w:val="0e101a"/>
          <w:sz w:val="22"/>
          <w:szCs w:val="22"/>
        </w:rPr>
      </w:pPr>
      <w:bookmarkStart w:colFirst="0" w:colLast="0" w:name="_heading=h.gjdgxs" w:id="0"/>
      <w:bookmarkEnd w:id="0"/>
      <w:r w:rsidDel="00000000" w:rsidR="00000000" w:rsidRPr="00000000">
        <w:rPr>
          <w:rtl w:val="0"/>
        </w:rPr>
      </w:r>
    </w:p>
    <w:sectPr>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Courier New"/>
  <w:font w:name="Noto Sans Symbol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Merriweather" w:cs="Merriweather" w:eastAsia="Merriweather" w:hAnsi="Merriweathe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Calibri" w:cs="Calibri" w:eastAsia="Calibri" w:hAnsi="Calibri"/>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ka-G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C16FA3"/>
    <w:pPr>
      <w:spacing w:after="100" w:afterAutospacing="1" w:before="100" w:beforeAutospacing="1"/>
    </w:pPr>
    <w:rPr>
      <w:rFonts w:ascii="Times New Roman" w:cs="Times New Roman" w:eastAsia="Times New Roman" w:hAnsi="Times New Roman"/>
      <w:lang w:val="en-US"/>
    </w:rPr>
  </w:style>
  <w:style w:type="paragraph" w:styleId="ListParagraph">
    <w:name w:val="List Paragraph"/>
    <w:basedOn w:val="Normal"/>
    <w:uiPriority w:val="34"/>
    <w:qFormat w:val="1"/>
    <w:rsid w:val="00CD51F9"/>
    <w:pPr>
      <w:spacing w:after="200" w:line="276" w:lineRule="auto"/>
      <w:ind w:left="720"/>
      <w:contextualSpacing w:val="1"/>
    </w:pPr>
    <w:rPr>
      <w:rFonts w:asciiTheme="minorHAnsi" w:cstheme="minorBidi" w:eastAsiaTheme="minorHAnsi" w:hAnsiTheme="minorHAnsi"/>
      <w:sz w:val="22"/>
      <w:szCs w:val="22"/>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6cmp8D9OipfUuJTUu4eIILVWrA==">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2020-10-12T12:44:00Z</dcterms:created>
  <dc:creator>NAGA</dc:creator>
</cp:coreProperties>
</file>