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FC4EF1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206A0D" w:rsidRPr="00206A0D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FC4EF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6B4824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6B4824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აკ. წერეთლის გამზ. N114</w:t>
            </w:r>
          </w:p>
        </w:tc>
      </w:tr>
      <w:tr w:rsidR="00FC4EF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6B4824" w:rsidRDefault="00FC4EF1" w:rsidP="00FC4EF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2961E0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0119</w:t>
            </w:r>
          </w:p>
        </w:tc>
      </w:tr>
      <w:tr w:rsidR="00FC4EF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EF1" w:rsidRPr="006B4824" w:rsidRDefault="00FC4EF1" w:rsidP="00FC4EF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6B4824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 და ეკომიგრანტთა პოლიტიკის დეპარტამენტი</w:t>
            </w:r>
          </w:p>
        </w:tc>
      </w:tr>
      <w:tr w:rsidR="00FC4EF1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EF1" w:rsidRPr="006B4824" w:rsidRDefault="00FC4EF1" w:rsidP="00FC4EF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EF1" w:rsidRPr="00A9570E" w:rsidRDefault="00FC4EF1" w:rsidP="00FC4EF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ეკომიგრანტთა საკითხების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C1192" w:rsidP="00A05E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10A65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A05E3B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A05E3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5C119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8858B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0C2A871" wp14:editId="76C4F9D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12985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DB2E5E8" wp14:editId="532AE5E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28AFD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74698E" w:rsidRDefault="00DB4303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DB4303">
              <w:rPr>
                <w:rFonts w:ascii="Sylfaen" w:hAnsi="Sylfaen"/>
                <w:lang w:val="ka-GE"/>
              </w:rPr>
              <w:t>I რანგის პირველადი სტრუქტურული ერთეულის ხელმძღვანელი -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A05E3B">
              <w:rPr>
                <w:rFonts w:ascii="Sylfaen" w:hAnsi="Sylfaen"/>
                <w:lang w:val="ka-GE"/>
              </w:rPr>
              <w:t>დეპარტამენტის</w:t>
            </w:r>
            <w:r w:rsidRPr="00DB4303">
              <w:rPr>
                <w:rFonts w:ascii="Sylfaen" w:hAnsi="Sylfaen"/>
                <w:lang w:val="ka-GE"/>
              </w:rPr>
              <w:t xml:space="preserve"> უფროსი</w:t>
            </w:r>
            <w:r w:rsidR="00262930">
              <w:rPr>
                <w:rFonts w:ascii="Sylfaen" w:hAnsi="Sylfaen"/>
                <w:lang w:val="ka-GE"/>
              </w:rPr>
              <w:t>;</w:t>
            </w:r>
          </w:p>
          <w:p w:rsidR="00BC797C" w:rsidRDefault="00BC797C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>პირველადი სტრუქტურული ერთეულის  ხელმძღვანელის მოადგილე -დეპარტამენტის უფროსის მოადგილე (2-1)</w:t>
            </w:r>
          </w:p>
          <w:p w:rsidR="00262930" w:rsidRPr="006B4824" w:rsidRDefault="00262930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5C119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E3B" w:rsidRDefault="00A05E3B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5C1192" w:rsidRPr="00E34F8D">
              <w:rPr>
                <w:rFonts w:ascii="Sylfaen" w:hAnsi="Sylfaen"/>
                <w:sz w:val="24"/>
                <w:szCs w:val="24"/>
                <w:lang w:val="ka-GE"/>
              </w:rPr>
              <w:t xml:space="preserve">III რანგის I კატეგორიის 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 xml:space="preserve">უფროსი სპეციალისტი </w:t>
            </w:r>
            <w:r w:rsidR="005C1192" w:rsidRPr="00E34F8D">
              <w:rPr>
                <w:rFonts w:ascii="Sylfaen" w:hAnsi="Sylfaen"/>
                <w:sz w:val="24"/>
                <w:szCs w:val="24"/>
                <w:lang w:val="ka-GE"/>
              </w:rPr>
              <w:t>(3-1)</w:t>
            </w:r>
            <w:r w:rsidR="005C119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 xml:space="preserve"> - 2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B4303" w:rsidRPr="00BA7FD7" w:rsidRDefault="00A05E3B" w:rsidP="00FC4EF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5C1192" w:rsidRPr="00E34F8D">
              <w:rPr>
                <w:rFonts w:ascii="Sylfaen" w:hAnsi="Sylfaen"/>
                <w:sz w:val="24"/>
                <w:szCs w:val="24"/>
                <w:lang w:val="ka-GE"/>
              </w:rPr>
              <w:t>III რანგის II კატეგორიის უფროსი სპეციალისტი- (3-2)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="00FC4EF1">
              <w:rPr>
                <w:rFonts w:ascii="Sylfaen" w:hAnsi="Sylfaen"/>
                <w:sz w:val="24"/>
                <w:szCs w:val="24"/>
              </w:rPr>
              <w:t>1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192" w:rsidRDefault="005C1192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4E7217" w:rsidRPr="00BA7FD7" w:rsidRDefault="005C1192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34F8D">
              <w:rPr>
                <w:rFonts w:ascii="Sylfaen" w:hAnsi="Sylfaen"/>
                <w:sz w:val="24"/>
                <w:szCs w:val="24"/>
                <w:lang w:val="ka-GE"/>
              </w:rPr>
              <w:t xml:space="preserve">III რანგის I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კატეგორიის უფროსი სპეციალისტი </w:t>
            </w:r>
            <w:r w:rsidRPr="00E34F8D">
              <w:rPr>
                <w:rFonts w:ascii="Sylfaen" w:hAnsi="Sylfaen"/>
                <w:sz w:val="24"/>
                <w:szCs w:val="24"/>
                <w:lang w:val="ka-GE"/>
              </w:rPr>
              <w:t>(3-1)</w:t>
            </w:r>
            <w:r w:rsidR="00A05E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5C1192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2200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E3B" w:rsidRDefault="00A05E3B" w:rsidP="004E7217">
            <w:pPr>
              <w:pStyle w:val="NormalWeb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- </w:t>
            </w:r>
            <w:r w:rsidR="00144199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ეკომიგრანტი ოჯახების განსახლების პოლიტიკის შემუშავება</w:t>
            </w:r>
          </w:p>
          <w:p w:rsidR="00607ACC" w:rsidRPr="000D4625" w:rsidRDefault="00A05E3B" w:rsidP="005F74FA">
            <w:pPr>
              <w:pStyle w:val="NormalWeb"/>
              <w:jc w:val="both"/>
              <w:rPr>
                <w:rFonts w:eastAsia="Arial Unicode MS" w:cs="Arial Unicode MS"/>
                <w:b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- </w:t>
            </w:r>
            <w:r w:rsidR="00144199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ეკომიგრანტთა საკითხების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სამმართველოს</w:t>
            </w:r>
            <w:r w:rsidR="005C1192" w:rsidRPr="0056094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გამართული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 ეფექტური </w:t>
            </w:r>
            <w:r w:rsidR="005C1192" w:rsidRPr="0056094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მუშაობის </w:t>
            </w:r>
            <w:r w:rsidR="005C1192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უზრუნველყოფა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;</w:t>
            </w:r>
            <w:r w:rsidR="005C1192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994D0B" w:rsidRDefault="00144199" w:rsidP="003438D2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„სტიქიური მოვლენების შედეგად დაზარალებული და გადაადგილებას დაქვემდებარებული (ეკომიგრანტი) ოჯახების ერთიანი ელექტრონული მონაცემთა ბაზის „წარმოების წესის თაობაზე შესაბამისი პროექტის/წინადადებების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DB3C17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BC797C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4109ED" w:rsidRDefault="00144199" w:rsidP="0014419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სტიქიით დაზარალებული ოჯახების წარმომადგენლებთან შეხვედრა;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BC797C">
              <w:rPr>
                <w:rFonts w:ascii="MS Gothic" w:eastAsia="MS Gothic" w:hAnsi="Wingdings" w:hint="eastAsia"/>
                <w:sz w:val="22"/>
                <w:szCs w:val="22"/>
              </w:rPr>
            </w:r>
            <w:r w:rsidR="00BC797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472248" w:rsidRDefault="00144199" w:rsidP="00144199">
            <w:pPr>
              <w:pStyle w:val="BodyText"/>
              <w:rPr>
                <w:rFonts w:ascii="Sylfaen" w:eastAsiaTheme="minorEastAsia" w:hAnsi="Sylfaen" w:cstheme="minorBidi"/>
                <w:bCs/>
                <w:color w:val="000000"/>
                <w:sz w:val="24"/>
                <w:szCs w:val="28"/>
                <w:lang w:val="ka-GE" w:eastAsia="en-US"/>
              </w:rPr>
            </w:pPr>
            <w:r w:rsidRPr="00144199">
              <w:rPr>
                <w:rFonts w:ascii="Sylfaen" w:hAnsi="Sylfaen"/>
                <w:sz w:val="22"/>
                <w:lang w:val="ka-GE"/>
              </w:rPr>
              <w:t>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გამოწვეული მოსალოდნელი მიგრაციული პროცესების ანალიზი.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4419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1441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472248" w:rsidRDefault="00144199" w:rsidP="00144199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განსახლების პოლიტიკის დაგეგმვის პროცესში </w:t>
            </w:r>
            <w:r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პერმანენტული შეხვედრები რეგიონებში ადგილობრივ ხელისუფლების წარმომადგენლებთან, </w:t>
            </w: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ასევე საერთაშორისო და არასამთავრობო სექტორის წარმომადგენლებთან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5C119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5C119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A05E3B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- </w:t>
            </w:r>
            <w:r w:rsidR="005C1192"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ყოველი კვირის ბოლოს თანამშრომლებთან ერთად  მიმდინარე საკითხების </w:t>
            </w: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განხ</w:t>
            </w:r>
            <w:r w:rsidR="005C1192"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იხილა და შესაბამისად  მომავალი კვირის დაგეგემვა</w:t>
            </w: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A05E3B" w:rsidP="00CA430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- სამმართველოს</w:t>
            </w:r>
            <w:r w:rsidR="005C1192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 ამოცანების დასახვა, საქმიანობის ორგანიზება და მართვა, ამოცანების შესრულების ზედამხედველობა, პრიორიტეტებისა და ვადების კონტროლი</w:t>
            </w: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A05E3B" w:rsidP="0014419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- </w:t>
            </w:r>
            <w:r w:rsidR="00144199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დევნილთა და ეკომიგრანტთა საკითხების შემსწავლელ კომისიების მუშაობაში მონაწილეობის მიღება.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4419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1441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0947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47FD" w:rsidRDefault="000947FD" w:rsidP="0014419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4349DC">
              <w:rPr>
                <w:rFonts w:ascii="Sylfaen" w:hAnsi="Sylfaen"/>
                <w:lang w:val="ka-GE"/>
              </w:rPr>
              <w:t>კომუნიკაცია გარე ორგანიზაციებთან</w:t>
            </w:r>
            <w:r w:rsidR="00144199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Pr="00D77381" w:rsidRDefault="000947FD" w:rsidP="005C1192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0947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47FD" w:rsidRPr="00411B72" w:rsidRDefault="000947FD" w:rsidP="002371E0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- ხელმძღვანელობისგან მიღებული სხვა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Pr="00D77381" w:rsidRDefault="000947FD" w:rsidP="002371E0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C797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0947F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Default="000947F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0947F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Default="000947FD" w:rsidP="004E7217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0947FD" w:rsidRDefault="000947FD" w:rsidP="005C1192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6094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შიდა: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="00FC4EF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ეკონომიკური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დეპარტამენტი, იურიდიული დეპარტამენტი, </w:t>
            </w:r>
            <w:r w:rsidR="00FC4EF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მასმედიასთან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საზოგადოებასთან ურთიერთობის დეპარტამენტი, ადმინისტრაციული დეპარტამენტი, </w:t>
            </w:r>
            <w:r w:rsidR="00FC4EF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ანალიტიკის,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ადამიანური რესურსების მართვისა და </w:t>
            </w:r>
            <w:r w:rsidR="00FC4EF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საერთაშორისო ურთიერთობების </w:t>
            </w:r>
            <w:r w:rsidR="00FC4EF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>დეპარტამენტი, სსიპ „სოციალური მომსახურების სააგენტო“,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სსიპ „საარსებო წყაროების უზრუნველყოფის სააგენტო“.</w:t>
            </w:r>
          </w:p>
          <w:p w:rsidR="000947FD" w:rsidRPr="005C1192" w:rsidRDefault="000947FD" w:rsidP="005C1192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6094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 xml:space="preserve">გარე: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საჯარო რეესტრის ეროვნული სააგენტო, სახელმწიფო ქონების ეროვნული სააგენტო, ადგილობრივი მუნიციპალიტეტები, აჭარის ა/რ ჯანმრთელობისა და სოციალური დაცვის სამინისტრო, „კავკასიის გარემოსდაცვითი არასამთავრობო ორგანიზაციების ქსელი“, „შვეიცარიის განვითარებისა და თანამშრომლობის სააგენტო“, ა/ო „დემოკრატიის ინსტიტუტი“.</w:t>
            </w:r>
            <w:r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„იუსტიციის სახლი“, სსიპ „სახელმწიფო სერვისების განვითარების სააგენტო“, არასამთავრობო ორგანიზაცია „</w:t>
            </w:r>
            <w:r>
              <w:rPr>
                <w:rFonts w:ascii="Sylfaen" w:hAnsi="Sylfaen"/>
                <w:color w:val="auto"/>
                <w:sz w:val="24"/>
                <w:szCs w:val="24"/>
              </w:rPr>
              <w:t xml:space="preserve">LAG”,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სახალხო დამცველის აპარატი, სსიპ „</w:t>
            </w:r>
            <w:r w:rsidRPr="005C1192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სიტუაციების მართვის სამსახური“.</w:t>
            </w:r>
          </w:p>
          <w:p w:rsidR="000947FD" w:rsidRPr="005951FF" w:rsidRDefault="000947FD" w:rsidP="00331BC2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0947F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Default="000947F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0947FD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7FD" w:rsidRPr="000C70A4" w:rsidRDefault="000947FD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560944">
              <w:rPr>
                <w:rFonts w:ascii="Sylfaen" w:hAnsi="Sylfaen"/>
                <w:sz w:val="24"/>
                <w:szCs w:val="24"/>
                <w:lang w:val="ka-GE"/>
              </w:rPr>
              <w:t>ზეპირი ანგარიში - ყოველდღიურად;</w:t>
            </w: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</w:t>
            </w:r>
            <w:r w:rsidR="001411F3">
              <w:rPr>
                <w:rFonts w:ascii="Sylfaen" w:hAnsi="Sylfaen"/>
                <w:lang w:val="ka-GE"/>
              </w:rPr>
              <w:t>;</w:t>
            </w:r>
            <w:r w:rsidR="005C1192">
              <w:rPr>
                <w:rFonts w:ascii="Sylfaen" w:hAnsi="Sylfaen"/>
                <w:lang w:val="ka-GE"/>
              </w:rPr>
              <w:t xml:space="preserve"> 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1192" w:rsidRDefault="005C1192" w:rsidP="005C119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1411F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F74F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მენეჯმენტი და მართა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BC2" w:rsidRDefault="00331BC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საჯარო პოლიტიკის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331BC2" w:rsidRDefault="00A05E3B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331BC2" w:rsidRPr="005951FF">
              <w:rPr>
                <w:rFonts w:ascii="Sylfaen" w:hAnsi="Sylfaen" w:cs="Sylfaen"/>
                <w:lang w:val="ka-GE"/>
              </w:rPr>
              <w:t>სტრესული და კონფლიქტური სიტუაციების მართვა</w:t>
            </w:r>
            <w:r w:rsidR="00331BC2">
              <w:rPr>
                <w:rFonts w:ascii="Sylfaen" w:hAnsi="Sylfaen" w:cs="Sylfaen"/>
                <w:lang w:val="ka-GE"/>
              </w:rPr>
              <w:t>;</w:t>
            </w:r>
          </w:p>
          <w:p w:rsidR="003438D2" w:rsidRDefault="00331BC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 xml:space="preserve"> კომუნიკაციის უნარები;</w:t>
            </w:r>
          </w:p>
          <w:p w:rsidR="00A05E3B" w:rsidRDefault="00A05E3B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A05E3B" w:rsidRPr="008D2B69" w:rsidRDefault="00A05E3B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5C1192" w:rsidRDefault="005C1192" w:rsidP="003951A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საქართველოს კონსტიტუცია</w:t>
            </w:r>
            <w:r w:rsidR="00A05E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5C1192" w:rsidRPr="005C1192" w:rsidRDefault="00A05E3B" w:rsidP="003951A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>საჯარო სამსახურის შესახებ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“ საქართველოს 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>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5C1192" w:rsidRPr="005C1192" w:rsidRDefault="00A05E3B" w:rsidP="003951A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>საჯარო სამსახურში ინტერესთა შეუთავსებლობისა და კორუფციის შესახებ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“ საქართველოს 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 xml:space="preserve">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A05E3B" w:rsidRDefault="003951AC" w:rsidP="003951AC">
            <w:pPr>
              <w:ind w:left="270" w:hanging="27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A05E3B">
              <w:rPr>
                <w:rFonts w:ascii="Sylfaen" w:hAnsi="Sylfaen"/>
              </w:rPr>
              <w:t xml:space="preserve">- </w:t>
            </w:r>
            <w:r w:rsidR="00A05E3B"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 w:rsidR="00A05E3B"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 w:rsidR="00A05E3B">
              <w:rPr>
                <w:rFonts w:ascii="Sylfaen" w:hAnsi="Sylfaen"/>
              </w:rPr>
              <w:t>;</w:t>
            </w:r>
          </w:p>
          <w:p w:rsidR="005C1192" w:rsidRPr="005C1192" w:rsidRDefault="003951AC" w:rsidP="003951A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</w:t>
            </w:r>
            <w:r w:rsidR="00A05E3B" w:rsidRPr="003951AC">
              <w:rPr>
                <w:rFonts w:ascii="Sylfaen" w:hAnsi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</w:t>
            </w:r>
            <w:r>
              <w:rPr>
                <w:rFonts w:ascii="Sylfaen" w:hAnsi="Sylfaen"/>
                <w:lang w:val="ka-GE"/>
              </w:rPr>
              <w:t xml:space="preserve">“ </w:t>
            </w:r>
            <w:r w:rsidRPr="003951AC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C1192" w:rsidRPr="003951AC">
              <w:rPr>
                <w:rFonts w:ascii="Sylfaen" w:hAnsi="Sylfaen"/>
                <w:lang w:val="ka-GE"/>
              </w:rPr>
              <w:t>მინისტრის 201</w:t>
            </w:r>
            <w:r w:rsidR="005C1192">
              <w:rPr>
                <w:rFonts w:ascii="Sylfaen" w:hAnsi="Sylfaen"/>
                <w:sz w:val="24"/>
                <w:szCs w:val="24"/>
                <w:lang w:val="ka-GE"/>
              </w:rPr>
              <w:t>3 წლის 13 ნოემბრის N779 ბრძანება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3951AC" w:rsidRDefault="008C1FB3" w:rsidP="003951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</w:t>
            </w:r>
            <w:r w:rsidR="003951AC">
              <w:rPr>
                <w:rFonts w:ascii="Sylfaen" w:hAnsi="Sylfaen" w:cs="Sylfaen"/>
                <w:lang w:val="ka-GE"/>
              </w:rPr>
              <w:t xml:space="preserve">- </w:t>
            </w:r>
            <w:r w:rsidR="003951AC" w:rsidRPr="00E878D9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 (II-IV თავები)</w:t>
            </w:r>
            <w:r w:rsidR="003951AC">
              <w:rPr>
                <w:rFonts w:ascii="Sylfaen" w:hAnsi="Sylfaen"/>
                <w:lang w:val="ka-GE"/>
              </w:rPr>
              <w:t xml:space="preserve"> </w:t>
            </w:r>
            <w:r w:rsidR="003951AC">
              <w:rPr>
                <w:rFonts w:ascii="Sylfaen" w:hAnsi="Sylfaen"/>
              </w:rPr>
              <w:t>;</w:t>
            </w:r>
          </w:p>
          <w:p w:rsidR="003951AC" w:rsidRPr="008C1FB3" w:rsidRDefault="008C1FB3" w:rsidP="003951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3951AC">
              <w:rPr>
                <w:rFonts w:ascii="Sylfaen" w:hAnsi="Sylfaen"/>
                <w:lang w:val="ka-GE"/>
              </w:rPr>
              <w:t>- ,,</w:t>
            </w:r>
            <w:r w:rsidRPr="008C1FB3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ეკომიგრანტთა საკითხების დეპარტამენტის დებულების </w:t>
            </w:r>
            <w:r w:rsidRPr="008C1FB3">
              <w:rPr>
                <w:rFonts w:ascii="Sylfaen" w:hAnsi="Sylfaen"/>
                <w:lang w:val="ka-GE"/>
              </w:rPr>
              <w:lastRenderedPageBreak/>
              <w:t>დამტკიცების შესახებ“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51AC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51AC">
              <w:rPr>
                <w:rFonts w:ascii="Sylfaen" w:hAnsi="Sylfaen"/>
                <w:lang w:val="ka-GE"/>
              </w:rPr>
              <w:t>მინისტრის 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4 წლის 17 ივნისის N1206 ბრძანება;</w:t>
            </w:r>
          </w:p>
          <w:p w:rsidR="00D11686" w:rsidRPr="00D11686" w:rsidRDefault="00D11686" w:rsidP="008C1FB3">
            <w:pPr>
              <w:pStyle w:val="ListParagraph"/>
              <w:spacing w:before="12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141C3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41C3" w:rsidRPr="007141C3" w:rsidRDefault="005F74FA" w:rsidP="007141C3">
            <w:pPr>
              <w:spacing w:before="1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„</w:t>
            </w:r>
            <w:r w:rsidR="007141C3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ტერიტორიებიდან იძულებით გადაადგილებულ პირთა - დევნილთა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41C3" w:rsidRPr="00962D44" w:rsidRDefault="007141C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F74FA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74FA" w:rsidRPr="005F74FA" w:rsidRDefault="005F74FA" w:rsidP="005F74FA">
            <w:pPr>
              <w:jc w:val="both"/>
            </w:pPr>
            <w:r w:rsidRPr="00160C4B">
              <w:rPr>
                <w:rFonts w:ascii="Sylfaen" w:eastAsia="Times New Roman" w:hAnsi="Sylfaen" w:cs="Sylfaen"/>
                <w:bCs/>
                <w:lang w:val="ka-GE"/>
              </w:rPr>
              <w:t>„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ფულადი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დახმარების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გაცემის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წესის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დამტკიცების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თაობაზე</w:t>
            </w:r>
            <w:proofErr w:type="spellEnd"/>
            <w:r w:rsidRPr="00160C4B">
              <w:rPr>
                <w:rFonts w:ascii="Sylfaen" w:eastAsia="Times New Roman" w:hAnsi="Sylfaen" w:cs="Sylfaen"/>
                <w:bCs/>
                <w:lang w:val="ka-GE"/>
              </w:rPr>
              <w:t xml:space="preserve">“ საქართველოს ოკუპირებული ტერიტორიებიდან იძულებით გადაადგილებულ პირთა, განსახლებისა და ლტოლვილთა </w:t>
            </w:r>
            <w:r w:rsidRPr="005F74FA">
              <w:rPr>
                <w:rFonts w:ascii="Sylfaen" w:eastAsia="Times New Roman" w:hAnsi="Sylfaen" w:cs="Sylfaen"/>
                <w:bCs/>
                <w:lang w:val="ka-GE"/>
              </w:rPr>
              <w:t>მინისტრის 2017 წლის 2 მაისის N868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74FA" w:rsidRPr="00962D44" w:rsidRDefault="005F74F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F74FA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74FA" w:rsidRPr="00962D44" w:rsidRDefault="005F74FA" w:rsidP="005F74FA">
            <w:pPr>
              <w:jc w:val="both"/>
              <w:rPr>
                <w:rFonts w:ascii="Sylfaen" w:hAnsi="Sylfaen" w:cs="Sylfaen"/>
                <w:lang w:val="ka-GE"/>
              </w:rPr>
            </w:pPr>
            <w:r w:rsidRPr="00160C4B">
              <w:rPr>
                <w:rFonts w:ascii="Sylfaen" w:eastAsia="Times New Roman" w:hAnsi="Sylfaen" w:cs="Sylfaen"/>
                <w:bCs/>
                <w:lang w:val="ka-GE"/>
              </w:rPr>
              <w:t>„დევნილთა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საცხოვრებლით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უზრუნველყოფის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წესი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>“</w:t>
            </w:r>
            <w:r w:rsidRPr="00160C4B">
              <w:rPr>
                <w:rFonts w:ascii="Sylfaen" w:hAnsi="Sylfaen" w:cs="Sylfaen"/>
                <w:lang w:val="ka-GE"/>
              </w:rPr>
              <w:t xml:space="preserve"> საქართველოს ოკუპირებული ტერიტორიებიდან იძულებით გადაადგილებულ პირთა, განსახლებისა და ლტოლვილთა </w:t>
            </w:r>
            <w:r w:rsidRPr="005F74FA">
              <w:rPr>
                <w:rFonts w:ascii="Sylfaen" w:hAnsi="Sylfaen" w:cs="Sylfaen"/>
                <w:lang w:val="ka-GE"/>
              </w:rPr>
              <w:t>მინისტრის 2013 წლის 9 აგვისტოს N320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74FA" w:rsidRPr="00962D44" w:rsidRDefault="005F74F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206A0D" w:rsidP="005F74F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8C1FB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1FB3" w:rsidRPr="008C1FB3" w:rsidRDefault="008C1FB3" w:rsidP="008C1FB3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8858BD" w:rsidRPr="008C1FB3"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ენა-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8C1FB3" w:rsidRPr="008C1FB3" w:rsidRDefault="008C1FB3" w:rsidP="008C1FB3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8858BD" w:rsidRPr="008C1FB3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ენა 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C81138" w:rsidRPr="008C1FB3" w:rsidRDefault="00C81138" w:rsidP="008C1FB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F74FA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E430DA" w:rsidP="008858B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 </w:t>
            </w:r>
            <w:r w:rsidR="008858BD">
              <w:rPr>
                <w:rFonts w:ascii="Sylfaen" w:hAnsi="Sylfaen" w:cs="Sylfaen"/>
                <w:lang w:val="ka-GE"/>
              </w:rPr>
              <w:t>2</w:t>
            </w:r>
            <w:r w:rsidR="000C70A4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8C1FB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</w:t>
            </w:r>
            <w:r w:rsidR="00E430DA">
              <w:rPr>
                <w:rFonts w:ascii="Sylfaen" w:hAnsi="Sylfaen" w:cs="Sylfaen"/>
                <w:lang w:val="ka-GE"/>
              </w:rPr>
              <w:t>3</w:t>
            </w:r>
            <w:r w:rsidR="00331BC2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858BD" w:rsidRDefault="00B76136" w:rsidP="008858BD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4189">
              <w:rPr>
                <w:rFonts w:ascii="Sylfaen" w:hAnsi="Sylfaen" w:cs="Sylfaen"/>
                <w:lang w:val="ka-GE"/>
              </w:rPr>
              <w:t>-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5F74FA">
        <w:trPr>
          <w:trHeight w:val="43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8C1FB3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- 3</w:t>
            </w:r>
            <w:r w:rsidR="008858BD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8858BD">
              <w:rPr>
                <w:rFonts w:ascii="Sylfaen" w:hAnsi="Sylfaen" w:cs="Sylfaen"/>
                <w:lang w:val="ka-GE"/>
              </w:rPr>
              <w:t>წელი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8858BD" w:rsidRDefault="006E691D" w:rsidP="008C1FB3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="008C1FB3" w:rsidRPr="008C1FB3">
              <w:rPr>
                <w:rFonts w:ascii="Sylfaen" w:hAnsi="Sylfaen" w:cs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 კომპლექსური აზროვნების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-. ცვლილებების  ინიციირებისა და მართვის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-. თათბირებისა და შეხვედრების წარმართვის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-. პრობლემების გადაჭრისა და კონფლიქტების მართვის უნარი;</w:t>
            </w:r>
            <w:r w:rsidR="008C1FB3" w:rsidRPr="008C1FB3">
              <w:rPr>
                <w:rFonts w:ascii="Sylfaen" w:hAnsi="Sylfaen" w:cs="Sylfaen"/>
                <w:lang w:val="ka-GE"/>
              </w:rPr>
              <w:br/>
              <w:t>-. გუნდის განვითარების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 w:rsidR="003B4EEA">
        <w:rPr>
          <w:rFonts w:ascii="Sylfaen" w:eastAsia="Calibri" w:hAnsi="Sylfaen"/>
          <w:bCs/>
          <w:sz w:val="22"/>
          <w:szCs w:val="22"/>
          <w:lang w:val="ka-GE"/>
        </w:rPr>
        <w:t>: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FC4EF1">
        <w:rPr>
          <w:rFonts w:ascii="Sylfaen" w:eastAsia="Calibri" w:hAnsi="Sylfaen"/>
          <w:bCs/>
          <w:sz w:val="22"/>
          <w:szCs w:val="22"/>
          <w:lang w:val="ka-GE"/>
        </w:rPr>
        <w:t>მურად აბლოთია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6135DA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თანამშრომელი</w:t>
      </w:r>
      <w:r w:rsidR="005F74FA">
        <w:rPr>
          <w:rFonts w:ascii="Sylfaen" w:eastAsia="Calibri" w:hAnsi="Sylfaen"/>
          <w:bCs/>
          <w:sz w:val="22"/>
          <w:szCs w:val="22"/>
          <w:lang w:val="ka-GE"/>
        </w:rPr>
        <w:t>: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="00CF6E3E">
        <w:rPr>
          <w:rFonts w:ascii="Sylfaen" w:eastAsia="Calibri" w:hAnsi="Sylfaen"/>
          <w:bCs/>
          <w:sz w:val="22"/>
          <w:szCs w:val="22"/>
          <w:lang w:val="ka-GE"/>
        </w:rPr>
        <w:t>დავით კაიკაციშვილი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430DA" w:rsidRPr="00097BB8" w:rsidRDefault="00E430DA" w:rsidP="00E430D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6786"/>
    <w:multiLevelType w:val="hybridMultilevel"/>
    <w:tmpl w:val="BF7A51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7B19"/>
    <w:multiLevelType w:val="hybridMultilevel"/>
    <w:tmpl w:val="FA9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947FD"/>
    <w:rsid w:val="000C70A4"/>
    <w:rsid w:val="000F4804"/>
    <w:rsid w:val="000F7F4D"/>
    <w:rsid w:val="001116D2"/>
    <w:rsid w:val="00127851"/>
    <w:rsid w:val="00140295"/>
    <w:rsid w:val="001411F3"/>
    <w:rsid w:val="00144199"/>
    <w:rsid w:val="0014563E"/>
    <w:rsid w:val="001E00FD"/>
    <w:rsid w:val="002041EC"/>
    <w:rsid w:val="00206A0D"/>
    <w:rsid w:val="00236416"/>
    <w:rsid w:val="00262930"/>
    <w:rsid w:val="00264124"/>
    <w:rsid w:val="00281348"/>
    <w:rsid w:val="00291FEC"/>
    <w:rsid w:val="003050A0"/>
    <w:rsid w:val="00306CD3"/>
    <w:rsid w:val="00331BC2"/>
    <w:rsid w:val="00332E5E"/>
    <w:rsid w:val="00340A2C"/>
    <w:rsid w:val="00341D75"/>
    <w:rsid w:val="003438D2"/>
    <w:rsid w:val="003951AC"/>
    <w:rsid w:val="003A5F01"/>
    <w:rsid w:val="003B257E"/>
    <w:rsid w:val="003B4EEA"/>
    <w:rsid w:val="003C05E0"/>
    <w:rsid w:val="003D2F00"/>
    <w:rsid w:val="00457D47"/>
    <w:rsid w:val="004666A2"/>
    <w:rsid w:val="00472248"/>
    <w:rsid w:val="004B42EF"/>
    <w:rsid w:val="004E7217"/>
    <w:rsid w:val="005951FF"/>
    <w:rsid w:val="005C1192"/>
    <w:rsid w:val="005C76A7"/>
    <w:rsid w:val="005D1EFB"/>
    <w:rsid w:val="005D35CF"/>
    <w:rsid w:val="005D776B"/>
    <w:rsid w:val="005F74FA"/>
    <w:rsid w:val="00607ACC"/>
    <w:rsid w:val="006135DA"/>
    <w:rsid w:val="006A7D60"/>
    <w:rsid w:val="006C54B7"/>
    <w:rsid w:val="006E691D"/>
    <w:rsid w:val="007141C3"/>
    <w:rsid w:val="007275E6"/>
    <w:rsid w:val="0074698E"/>
    <w:rsid w:val="00765DB6"/>
    <w:rsid w:val="00776486"/>
    <w:rsid w:val="00790C3C"/>
    <w:rsid w:val="007D4736"/>
    <w:rsid w:val="00823CB5"/>
    <w:rsid w:val="008539EC"/>
    <w:rsid w:val="008858BD"/>
    <w:rsid w:val="008C1FB3"/>
    <w:rsid w:val="008D2B69"/>
    <w:rsid w:val="009110BB"/>
    <w:rsid w:val="00962D44"/>
    <w:rsid w:val="009722EE"/>
    <w:rsid w:val="009856E3"/>
    <w:rsid w:val="00991FC9"/>
    <w:rsid w:val="009E42F5"/>
    <w:rsid w:val="00A05E3B"/>
    <w:rsid w:val="00A246A4"/>
    <w:rsid w:val="00A26379"/>
    <w:rsid w:val="00A4379B"/>
    <w:rsid w:val="00AC213F"/>
    <w:rsid w:val="00B01423"/>
    <w:rsid w:val="00B313DF"/>
    <w:rsid w:val="00B660B7"/>
    <w:rsid w:val="00B76136"/>
    <w:rsid w:val="00B8374A"/>
    <w:rsid w:val="00BA7FD7"/>
    <w:rsid w:val="00BC1157"/>
    <w:rsid w:val="00BC797C"/>
    <w:rsid w:val="00C0515A"/>
    <w:rsid w:val="00C81138"/>
    <w:rsid w:val="00C8567B"/>
    <w:rsid w:val="00CF6E3E"/>
    <w:rsid w:val="00D11686"/>
    <w:rsid w:val="00D77381"/>
    <w:rsid w:val="00DB3C17"/>
    <w:rsid w:val="00DB4303"/>
    <w:rsid w:val="00E035B4"/>
    <w:rsid w:val="00E05CF9"/>
    <w:rsid w:val="00E430DA"/>
    <w:rsid w:val="00E73C5C"/>
    <w:rsid w:val="00E8550E"/>
    <w:rsid w:val="00EA3706"/>
    <w:rsid w:val="00F330D3"/>
    <w:rsid w:val="00F96330"/>
    <w:rsid w:val="00FC4EF1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4A583-0707-4C22-9B79-3E75A3E4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Zurab</dc:creator>
  <cp:lastModifiedBy>Davit Kaikatsishvili</cp:lastModifiedBy>
  <cp:revision>3</cp:revision>
  <cp:lastPrinted>2017-11-01T12:38:00Z</cp:lastPrinted>
  <dcterms:created xsi:type="dcterms:W3CDTF">2018-11-09T08:25:00Z</dcterms:created>
  <dcterms:modified xsi:type="dcterms:W3CDTF">2018-11-09T08:51:00Z</dcterms:modified>
</cp:coreProperties>
</file>